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EC" w:rsidRDefault="008D6D3B" w:rsidP="009A2AD5">
      <w:pPr>
        <w:pStyle w:val="BodyText"/>
        <w:spacing w:after="37"/>
        <w:ind w:left="208"/>
        <w:jc w:val="center"/>
        <w:rPr>
          <w:rFonts w:ascii="Times New Roman"/>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8.05pt;width:620.25pt;height:158.5pt;z-index:251659264;mso-position-horizontal-relative:text;mso-position-vertical-relative:text">
            <v:imagedata r:id="rId7" o:title="INSA_INSSummit_900x230"/>
          </v:shape>
        </w:pict>
      </w: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B1590" w:rsidRDefault="004B1590"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p w:rsidR="004821EC" w:rsidRDefault="004821EC" w:rsidP="009A2AD5">
      <w:pPr>
        <w:pStyle w:val="BodyText"/>
        <w:spacing w:after="37"/>
        <w:ind w:left="208"/>
        <w:jc w:val="center"/>
        <w:rPr>
          <w:rFonts w:ascii="Times New Roman"/>
          <w:sz w:val="20"/>
        </w:rPr>
      </w:pPr>
    </w:p>
    <w:tbl>
      <w:tblPr>
        <w:tblpPr w:vertAnchor="text" w:tblpY="1"/>
        <w:tblOverlap w:val="never"/>
        <w:tblW w:w="1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
        <w:gridCol w:w="2056"/>
        <w:gridCol w:w="4935"/>
        <w:gridCol w:w="371"/>
        <w:gridCol w:w="371"/>
        <w:gridCol w:w="371"/>
        <w:gridCol w:w="371"/>
        <w:gridCol w:w="371"/>
        <w:gridCol w:w="371"/>
        <w:gridCol w:w="371"/>
        <w:gridCol w:w="371"/>
        <w:gridCol w:w="371"/>
        <w:gridCol w:w="371"/>
      </w:tblGrid>
      <w:tr w:rsidR="008866C6" w:rsidRPr="00C724B4" w:rsidTr="001B683A">
        <w:trPr>
          <w:trHeight w:val="304"/>
        </w:trPr>
        <w:tc>
          <w:tcPr>
            <w:tcW w:w="819" w:type="dxa"/>
            <w:vMerge w:val="restart"/>
            <w:vAlign w:val="bottom"/>
          </w:tcPr>
          <w:p w:rsidR="008866C6" w:rsidRPr="007444D0" w:rsidRDefault="008866C6" w:rsidP="0067587D">
            <w:pPr>
              <w:pStyle w:val="TableParagraph"/>
              <w:jc w:val="center"/>
              <w:rPr>
                <w:rFonts w:asciiTheme="minorHAnsi" w:hAnsiTheme="minorHAnsi" w:cstheme="minorHAnsi"/>
                <w:b/>
                <w:sz w:val="20"/>
                <w:szCs w:val="20"/>
              </w:rPr>
            </w:pPr>
            <w:r w:rsidRPr="007444D0">
              <w:rPr>
                <w:rFonts w:asciiTheme="minorHAnsi" w:hAnsiTheme="minorHAnsi" w:cstheme="minorHAnsi"/>
                <w:b/>
                <w:sz w:val="20"/>
                <w:szCs w:val="20"/>
              </w:rPr>
              <w:t>Day</w:t>
            </w:r>
          </w:p>
        </w:tc>
        <w:tc>
          <w:tcPr>
            <w:tcW w:w="2056" w:type="dxa"/>
            <w:vMerge w:val="restart"/>
            <w:vAlign w:val="bottom"/>
          </w:tcPr>
          <w:p w:rsidR="008866C6" w:rsidRPr="007444D0" w:rsidRDefault="008866C6" w:rsidP="004266D9">
            <w:pPr>
              <w:pStyle w:val="TableParagraph"/>
              <w:ind w:right="523"/>
              <w:jc w:val="center"/>
              <w:rPr>
                <w:rFonts w:asciiTheme="minorHAnsi" w:hAnsiTheme="minorHAnsi" w:cstheme="minorHAnsi"/>
                <w:b/>
                <w:sz w:val="20"/>
                <w:szCs w:val="20"/>
              </w:rPr>
            </w:pPr>
            <w:r w:rsidRPr="007444D0">
              <w:rPr>
                <w:rFonts w:asciiTheme="minorHAnsi" w:hAnsiTheme="minorHAnsi" w:cstheme="minorHAnsi"/>
                <w:b/>
                <w:sz w:val="20"/>
                <w:szCs w:val="20"/>
              </w:rPr>
              <w:t>Time</w:t>
            </w:r>
          </w:p>
        </w:tc>
        <w:tc>
          <w:tcPr>
            <w:tcW w:w="4935" w:type="dxa"/>
            <w:vMerge w:val="restart"/>
          </w:tcPr>
          <w:p w:rsidR="008866C6" w:rsidRPr="007444D0" w:rsidRDefault="008866C6" w:rsidP="004266D9">
            <w:pPr>
              <w:pStyle w:val="TableParagraph"/>
              <w:spacing w:line="219" w:lineRule="exact"/>
              <w:ind w:left="359"/>
              <w:jc w:val="center"/>
              <w:rPr>
                <w:rFonts w:asciiTheme="minorHAnsi" w:hAnsiTheme="minorHAnsi" w:cstheme="minorHAnsi"/>
                <w:b/>
                <w:sz w:val="20"/>
                <w:szCs w:val="20"/>
              </w:rPr>
            </w:pPr>
            <w:r w:rsidRPr="007444D0">
              <w:rPr>
                <w:rFonts w:asciiTheme="minorHAnsi" w:hAnsiTheme="minorHAnsi" w:cstheme="minorHAnsi"/>
                <w:b/>
                <w:sz w:val="20"/>
                <w:szCs w:val="20"/>
              </w:rPr>
              <w:t xml:space="preserve">LIST of Continuing Education Sessions </w:t>
            </w:r>
          </w:p>
          <w:p w:rsidR="008866C6" w:rsidRPr="007444D0" w:rsidRDefault="008866C6" w:rsidP="004266D9">
            <w:pPr>
              <w:pStyle w:val="TableParagraph"/>
              <w:spacing w:line="219" w:lineRule="exact"/>
              <w:ind w:left="359"/>
              <w:jc w:val="center"/>
              <w:rPr>
                <w:rFonts w:asciiTheme="minorHAnsi" w:hAnsiTheme="minorHAnsi" w:cstheme="minorHAnsi"/>
                <w:b/>
                <w:sz w:val="20"/>
                <w:szCs w:val="20"/>
              </w:rPr>
            </w:pPr>
            <w:r w:rsidRPr="007444D0">
              <w:rPr>
                <w:rFonts w:asciiTheme="minorHAnsi" w:hAnsiTheme="minorHAnsi" w:cstheme="minorHAnsi"/>
                <w:b/>
                <w:sz w:val="20"/>
                <w:szCs w:val="20"/>
              </w:rPr>
              <w:t xml:space="preserve">as of </w:t>
            </w:r>
            <w:r w:rsidR="001B683A">
              <w:rPr>
                <w:rFonts w:asciiTheme="minorHAnsi" w:hAnsiTheme="minorHAnsi" w:cstheme="minorHAnsi"/>
                <w:b/>
                <w:sz w:val="20"/>
                <w:szCs w:val="20"/>
              </w:rPr>
              <w:t>July 17</w:t>
            </w:r>
            <w:bookmarkStart w:id="0" w:name="_GoBack"/>
            <w:bookmarkEnd w:id="0"/>
            <w:r>
              <w:rPr>
                <w:rFonts w:asciiTheme="minorHAnsi" w:hAnsiTheme="minorHAnsi" w:cstheme="minorHAnsi"/>
                <w:b/>
                <w:sz w:val="20"/>
                <w:szCs w:val="20"/>
              </w:rPr>
              <w:t>, 2019</w:t>
            </w:r>
          </w:p>
          <w:p w:rsidR="008866C6" w:rsidRPr="007444D0" w:rsidRDefault="008866C6" w:rsidP="004266D9">
            <w:pPr>
              <w:pStyle w:val="TableParagraph"/>
              <w:rPr>
                <w:rFonts w:asciiTheme="minorHAnsi" w:hAnsiTheme="minorHAnsi" w:cstheme="minorHAnsi"/>
                <w:sz w:val="20"/>
                <w:szCs w:val="20"/>
              </w:rPr>
            </w:pPr>
          </w:p>
          <w:p w:rsidR="008866C6" w:rsidRPr="007444D0" w:rsidRDefault="008866C6" w:rsidP="004266D9">
            <w:pPr>
              <w:pStyle w:val="TableParagraph"/>
              <w:spacing w:before="1"/>
              <w:ind w:left="150" w:right="147" w:hanging="1"/>
              <w:jc w:val="center"/>
              <w:rPr>
                <w:rFonts w:asciiTheme="minorHAnsi" w:hAnsiTheme="minorHAnsi" w:cstheme="minorHAnsi"/>
                <w:sz w:val="20"/>
                <w:szCs w:val="20"/>
              </w:rPr>
            </w:pPr>
            <w:r w:rsidRPr="007444D0">
              <w:rPr>
                <w:rFonts w:asciiTheme="minorHAnsi" w:hAnsiTheme="minorHAnsi" w:cstheme="minorHAnsi"/>
                <w:color w:val="FF0000"/>
                <w:sz w:val="20"/>
                <w:szCs w:val="20"/>
              </w:rPr>
              <w:t>Approvals for CompTIA CEU</w:t>
            </w:r>
            <w:r>
              <w:rPr>
                <w:rFonts w:asciiTheme="minorHAnsi" w:hAnsiTheme="minorHAnsi" w:cstheme="minorHAnsi"/>
                <w:color w:val="FF0000"/>
                <w:sz w:val="20"/>
                <w:szCs w:val="20"/>
              </w:rPr>
              <w:t>s</w:t>
            </w:r>
            <w:r w:rsidRPr="007444D0">
              <w:rPr>
                <w:rFonts w:asciiTheme="minorHAnsi" w:hAnsiTheme="minorHAnsi" w:cstheme="minorHAnsi"/>
                <w:color w:val="FF0000"/>
                <w:sz w:val="20"/>
                <w:szCs w:val="20"/>
              </w:rPr>
              <w:t>, GIAC CPE</w:t>
            </w:r>
            <w:r>
              <w:rPr>
                <w:rFonts w:asciiTheme="minorHAnsi" w:hAnsiTheme="minorHAnsi" w:cstheme="minorHAnsi"/>
                <w:color w:val="FF0000"/>
                <w:sz w:val="20"/>
                <w:szCs w:val="20"/>
              </w:rPr>
              <w:t>s</w:t>
            </w:r>
            <w:r w:rsidRPr="007444D0">
              <w:rPr>
                <w:rFonts w:asciiTheme="minorHAnsi" w:hAnsiTheme="minorHAnsi" w:cstheme="minorHAnsi"/>
                <w:color w:val="FF0000"/>
                <w:sz w:val="20"/>
                <w:szCs w:val="20"/>
              </w:rPr>
              <w:t>, and/or CertNexus CFR CEC</w:t>
            </w:r>
            <w:r>
              <w:rPr>
                <w:rFonts w:asciiTheme="minorHAnsi" w:hAnsiTheme="minorHAnsi" w:cstheme="minorHAnsi"/>
                <w:color w:val="FF0000"/>
                <w:sz w:val="20"/>
                <w:szCs w:val="20"/>
              </w:rPr>
              <w:t>s</w:t>
            </w:r>
            <w:r w:rsidRPr="007444D0">
              <w:rPr>
                <w:rFonts w:asciiTheme="minorHAnsi" w:hAnsiTheme="minorHAnsi" w:cstheme="minorHAnsi"/>
                <w:color w:val="FF0000"/>
                <w:sz w:val="20"/>
                <w:szCs w:val="20"/>
              </w:rPr>
              <w:t xml:space="preserve"> are for 1 unit per </w:t>
            </w:r>
            <w:r w:rsidRPr="007444D0">
              <w:rPr>
                <w:rFonts w:asciiTheme="minorHAnsi" w:hAnsiTheme="minorHAnsi" w:cstheme="minorHAnsi"/>
                <w:color w:val="FF0000"/>
                <w:sz w:val="20"/>
                <w:szCs w:val="20"/>
                <w:u w:val="single" w:color="FF0000"/>
              </w:rPr>
              <w:t>full hour</w:t>
            </w:r>
            <w:r w:rsidRPr="007444D0">
              <w:rPr>
                <w:rFonts w:asciiTheme="minorHAnsi" w:hAnsiTheme="minorHAnsi" w:cstheme="minorHAnsi"/>
                <w:color w:val="FF0000"/>
                <w:sz w:val="20"/>
                <w:szCs w:val="20"/>
              </w:rPr>
              <w:t xml:space="preserve"> of session content so </w:t>
            </w:r>
            <w:r w:rsidRPr="007444D0">
              <w:rPr>
                <w:rFonts w:asciiTheme="minorHAnsi" w:hAnsiTheme="minorHAnsi" w:cstheme="minorHAnsi"/>
                <w:color w:val="FF0000"/>
                <w:sz w:val="20"/>
                <w:szCs w:val="20"/>
                <w:u w:val="single" w:color="FF0000"/>
              </w:rPr>
              <w:t>help meet</w:t>
            </w:r>
            <w:r w:rsidRPr="007444D0">
              <w:rPr>
                <w:rFonts w:asciiTheme="minorHAnsi" w:hAnsiTheme="minorHAnsi" w:cstheme="minorHAnsi"/>
                <w:color w:val="FF0000"/>
                <w:sz w:val="20"/>
                <w:szCs w:val="20"/>
              </w:rPr>
              <w:t xml:space="preserve"> </w:t>
            </w:r>
            <w:r w:rsidRPr="007444D0">
              <w:rPr>
                <w:rFonts w:asciiTheme="minorHAnsi" w:hAnsiTheme="minorHAnsi" w:cstheme="minorHAnsi"/>
                <w:color w:val="FF0000"/>
                <w:sz w:val="20"/>
                <w:szCs w:val="20"/>
                <w:u w:val="single" w:color="FF0000"/>
              </w:rPr>
              <w:t>the session time requirement by asking questions</w:t>
            </w:r>
            <w:r w:rsidRPr="007444D0">
              <w:rPr>
                <w:rFonts w:asciiTheme="minorHAnsi" w:hAnsiTheme="minorHAnsi" w:cstheme="minorHAnsi"/>
                <w:color w:val="FF0000"/>
                <w:sz w:val="20"/>
                <w:szCs w:val="20"/>
              </w:rPr>
              <w:t>.</w:t>
            </w:r>
          </w:p>
        </w:tc>
        <w:tc>
          <w:tcPr>
            <w:tcW w:w="371" w:type="dxa"/>
            <w:vMerge w:val="restart"/>
            <w:textDirection w:val="btLr"/>
          </w:tcPr>
          <w:p w:rsidR="008866C6" w:rsidRPr="007444D0" w:rsidRDefault="008866C6" w:rsidP="004266D9">
            <w:pPr>
              <w:pStyle w:val="TableParagraph"/>
              <w:spacing w:before="105"/>
              <w:ind w:left="112"/>
              <w:rPr>
                <w:rFonts w:asciiTheme="minorHAnsi" w:hAnsiTheme="minorHAnsi" w:cstheme="minorHAnsi"/>
                <w:sz w:val="20"/>
                <w:szCs w:val="20"/>
              </w:rPr>
            </w:pPr>
            <w:proofErr w:type="spellStart"/>
            <w:r w:rsidRPr="007444D0">
              <w:rPr>
                <w:rFonts w:asciiTheme="minorHAnsi" w:hAnsiTheme="minorHAnsi" w:cstheme="minorHAnsi"/>
                <w:color w:val="FF0000"/>
                <w:sz w:val="20"/>
                <w:szCs w:val="20"/>
              </w:rPr>
              <w:t>CertNexus</w:t>
            </w:r>
            <w:proofErr w:type="spellEnd"/>
            <w:r>
              <w:rPr>
                <w:rFonts w:asciiTheme="minorHAnsi" w:hAnsiTheme="minorHAnsi" w:cstheme="minorHAnsi"/>
                <w:color w:val="FF0000"/>
                <w:sz w:val="20"/>
                <w:szCs w:val="20"/>
              </w:rPr>
              <w:t xml:space="preserve">  CFR</w:t>
            </w:r>
          </w:p>
        </w:tc>
        <w:tc>
          <w:tcPr>
            <w:tcW w:w="371" w:type="dxa"/>
            <w:vMerge w:val="restart"/>
            <w:textDirection w:val="btLr"/>
          </w:tcPr>
          <w:p w:rsidR="008866C6" w:rsidRPr="007444D0" w:rsidRDefault="008866C6" w:rsidP="004266D9">
            <w:pPr>
              <w:pStyle w:val="TableParagraph"/>
              <w:spacing w:before="101"/>
              <w:ind w:left="112"/>
              <w:rPr>
                <w:rFonts w:asciiTheme="minorHAnsi" w:hAnsiTheme="minorHAnsi" w:cstheme="minorHAnsi"/>
                <w:sz w:val="20"/>
                <w:szCs w:val="20"/>
              </w:rPr>
            </w:pPr>
            <w:r w:rsidRPr="007444D0">
              <w:rPr>
                <w:rFonts w:asciiTheme="minorHAnsi" w:hAnsiTheme="minorHAnsi" w:cstheme="minorHAnsi"/>
                <w:color w:val="FF0000"/>
                <w:sz w:val="20"/>
                <w:szCs w:val="20"/>
              </w:rPr>
              <w:t>GIAC</w:t>
            </w:r>
          </w:p>
        </w:tc>
        <w:tc>
          <w:tcPr>
            <w:tcW w:w="2968" w:type="dxa"/>
            <w:gridSpan w:val="8"/>
            <w:noWrap/>
            <w:vAlign w:val="center"/>
          </w:tcPr>
          <w:p w:rsidR="008866C6" w:rsidRPr="007444D0" w:rsidRDefault="008866C6" w:rsidP="004266D9">
            <w:pPr>
              <w:pStyle w:val="TableParagraph"/>
              <w:spacing w:line="200" w:lineRule="exact"/>
              <w:ind w:left="720" w:right="977"/>
              <w:jc w:val="center"/>
              <w:rPr>
                <w:rFonts w:asciiTheme="minorHAnsi" w:hAnsiTheme="minorHAnsi" w:cstheme="minorHAnsi"/>
                <w:color w:val="FF0000"/>
                <w:sz w:val="20"/>
                <w:szCs w:val="20"/>
              </w:rPr>
            </w:pPr>
            <w:r w:rsidRPr="007444D0">
              <w:rPr>
                <w:rFonts w:asciiTheme="minorHAnsi" w:hAnsiTheme="minorHAnsi" w:cstheme="minorHAnsi"/>
                <w:color w:val="FF0000"/>
                <w:sz w:val="20"/>
                <w:szCs w:val="20"/>
              </w:rPr>
              <w:t>CompTIA</w:t>
            </w:r>
          </w:p>
        </w:tc>
      </w:tr>
      <w:tr w:rsidR="008866C6" w:rsidRPr="00C724B4" w:rsidTr="001B683A">
        <w:trPr>
          <w:trHeight w:val="1472"/>
        </w:trPr>
        <w:tc>
          <w:tcPr>
            <w:tcW w:w="819" w:type="dxa"/>
            <w:vMerge/>
            <w:tcBorders>
              <w:top w:val="nil"/>
            </w:tcBorders>
          </w:tcPr>
          <w:p w:rsidR="008866C6" w:rsidRPr="007444D0" w:rsidRDefault="008866C6" w:rsidP="0067587D">
            <w:pPr>
              <w:jc w:val="center"/>
              <w:rPr>
                <w:rFonts w:asciiTheme="minorHAnsi" w:hAnsiTheme="minorHAnsi" w:cstheme="minorHAnsi"/>
                <w:sz w:val="20"/>
                <w:szCs w:val="20"/>
              </w:rPr>
            </w:pPr>
          </w:p>
        </w:tc>
        <w:tc>
          <w:tcPr>
            <w:tcW w:w="2056" w:type="dxa"/>
            <w:vMerge/>
            <w:tcBorders>
              <w:top w:val="nil"/>
            </w:tcBorders>
          </w:tcPr>
          <w:p w:rsidR="008866C6" w:rsidRPr="007444D0" w:rsidRDefault="008866C6" w:rsidP="004266D9">
            <w:pPr>
              <w:rPr>
                <w:rFonts w:asciiTheme="minorHAnsi" w:hAnsiTheme="minorHAnsi" w:cstheme="minorHAnsi"/>
                <w:sz w:val="20"/>
                <w:szCs w:val="20"/>
              </w:rPr>
            </w:pPr>
          </w:p>
        </w:tc>
        <w:tc>
          <w:tcPr>
            <w:tcW w:w="4935" w:type="dxa"/>
            <w:vMerge/>
          </w:tcPr>
          <w:p w:rsidR="008866C6" w:rsidRPr="007444D0" w:rsidRDefault="008866C6" w:rsidP="004266D9">
            <w:pPr>
              <w:rPr>
                <w:rFonts w:asciiTheme="minorHAnsi" w:hAnsiTheme="minorHAnsi" w:cstheme="minorHAnsi"/>
                <w:sz w:val="20"/>
                <w:szCs w:val="20"/>
              </w:rPr>
            </w:pPr>
          </w:p>
        </w:tc>
        <w:tc>
          <w:tcPr>
            <w:tcW w:w="371" w:type="dxa"/>
            <w:vMerge/>
            <w:tcBorders>
              <w:top w:val="nil"/>
            </w:tcBorders>
            <w:textDirection w:val="btLr"/>
          </w:tcPr>
          <w:p w:rsidR="008866C6" w:rsidRPr="007444D0" w:rsidRDefault="008866C6" w:rsidP="004266D9">
            <w:pPr>
              <w:jc w:val="center"/>
              <w:rPr>
                <w:rFonts w:asciiTheme="minorHAnsi" w:hAnsiTheme="minorHAnsi" w:cstheme="minorHAnsi"/>
                <w:sz w:val="20"/>
                <w:szCs w:val="20"/>
              </w:rPr>
            </w:pPr>
          </w:p>
        </w:tc>
        <w:tc>
          <w:tcPr>
            <w:tcW w:w="371" w:type="dxa"/>
            <w:vMerge/>
            <w:tcBorders>
              <w:top w:val="nil"/>
            </w:tcBorders>
            <w:textDirection w:val="btLr"/>
          </w:tcPr>
          <w:p w:rsidR="008866C6" w:rsidRPr="007444D0" w:rsidRDefault="008866C6" w:rsidP="004266D9">
            <w:pPr>
              <w:jc w:val="center"/>
              <w:rPr>
                <w:rFonts w:asciiTheme="minorHAnsi" w:hAnsiTheme="minorHAnsi" w:cstheme="minorHAnsi"/>
                <w:sz w:val="20"/>
                <w:szCs w:val="20"/>
              </w:rPr>
            </w:pPr>
          </w:p>
        </w:tc>
        <w:tc>
          <w:tcPr>
            <w:tcW w:w="371" w:type="dxa"/>
            <w:textDirection w:val="btLr"/>
          </w:tcPr>
          <w:p w:rsidR="008866C6" w:rsidRPr="007444D0" w:rsidRDefault="008866C6" w:rsidP="004266D9">
            <w:pPr>
              <w:pStyle w:val="TableParagraph"/>
              <w:spacing w:before="100"/>
              <w:ind w:left="112"/>
              <w:rPr>
                <w:rFonts w:asciiTheme="minorHAnsi" w:hAnsiTheme="minorHAnsi" w:cstheme="minorHAnsi"/>
                <w:sz w:val="20"/>
                <w:szCs w:val="20"/>
              </w:rPr>
            </w:pPr>
            <w:r w:rsidRPr="007444D0">
              <w:rPr>
                <w:rFonts w:asciiTheme="minorHAnsi" w:hAnsiTheme="minorHAnsi" w:cstheme="minorHAnsi"/>
                <w:color w:val="FF0000"/>
                <w:sz w:val="20"/>
                <w:szCs w:val="20"/>
              </w:rPr>
              <w:t>A+</w:t>
            </w:r>
          </w:p>
        </w:tc>
        <w:tc>
          <w:tcPr>
            <w:tcW w:w="371" w:type="dxa"/>
            <w:textDirection w:val="btLr"/>
          </w:tcPr>
          <w:p w:rsidR="008866C6" w:rsidRPr="007444D0" w:rsidRDefault="008866C6" w:rsidP="004266D9">
            <w:pPr>
              <w:pStyle w:val="TableParagraph"/>
              <w:spacing w:before="100"/>
              <w:ind w:left="112"/>
              <w:rPr>
                <w:rFonts w:asciiTheme="minorHAnsi" w:hAnsiTheme="minorHAnsi" w:cstheme="minorHAnsi"/>
                <w:sz w:val="20"/>
                <w:szCs w:val="20"/>
              </w:rPr>
            </w:pPr>
            <w:r w:rsidRPr="007444D0">
              <w:rPr>
                <w:rFonts w:asciiTheme="minorHAnsi" w:hAnsiTheme="minorHAnsi" w:cstheme="minorHAnsi"/>
                <w:color w:val="FF0000"/>
                <w:sz w:val="20"/>
                <w:szCs w:val="20"/>
              </w:rPr>
              <w:t>Network+</w:t>
            </w:r>
          </w:p>
        </w:tc>
        <w:tc>
          <w:tcPr>
            <w:tcW w:w="371" w:type="dxa"/>
            <w:textDirection w:val="btLr"/>
          </w:tcPr>
          <w:p w:rsidR="008866C6" w:rsidRPr="007444D0" w:rsidRDefault="008866C6" w:rsidP="004266D9">
            <w:pPr>
              <w:pStyle w:val="TableParagraph"/>
              <w:spacing w:before="99"/>
              <w:ind w:left="112"/>
              <w:rPr>
                <w:rFonts w:asciiTheme="minorHAnsi" w:hAnsiTheme="minorHAnsi" w:cstheme="minorHAnsi"/>
                <w:sz w:val="20"/>
                <w:szCs w:val="20"/>
              </w:rPr>
            </w:pPr>
            <w:r w:rsidRPr="007444D0">
              <w:rPr>
                <w:rFonts w:asciiTheme="minorHAnsi" w:hAnsiTheme="minorHAnsi" w:cstheme="minorHAnsi"/>
                <w:color w:val="FF0000"/>
                <w:sz w:val="20"/>
                <w:szCs w:val="20"/>
              </w:rPr>
              <w:t>Security+</w:t>
            </w:r>
          </w:p>
        </w:tc>
        <w:tc>
          <w:tcPr>
            <w:tcW w:w="371" w:type="dxa"/>
            <w:textDirection w:val="btLr"/>
          </w:tcPr>
          <w:p w:rsidR="008866C6" w:rsidRPr="007444D0" w:rsidRDefault="008866C6" w:rsidP="004266D9">
            <w:pPr>
              <w:pStyle w:val="TableParagraph"/>
              <w:spacing w:before="100"/>
              <w:ind w:left="112"/>
              <w:rPr>
                <w:rFonts w:asciiTheme="minorHAnsi" w:hAnsiTheme="minorHAnsi" w:cstheme="minorHAnsi"/>
                <w:sz w:val="20"/>
                <w:szCs w:val="20"/>
              </w:rPr>
            </w:pPr>
            <w:r w:rsidRPr="007444D0">
              <w:rPr>
                <w:rFonts w:asciiTheme="minorHAnsi" w:hAnsiTheme="minorHAnsi" w:cstheme="minorHAnsi"/>
                <w:color w:val="FF0000"/>
                <w:sz w:val="20"/>
                <w:szCs w:val="20"/>
              </w:rPr>
              <w:t>Cloud+</w:t>
            </w:r>
          </w:p>
        </w:tc>
        <w:tc>
          <w:tcPr>
            <w:tcW w:w="371" w:type="dxa"/>
            <w:textDirection w:val="btLr"/>
          </w:tcPr>
          <w:p w:rsidR="008866C6" w:rsidRPr="007444D0" w:rsidRDefault="008866C6" w:rsidP="004266D9">
            <w:pPr>
              <w:pStyle w:val="TableParagraph"/>
              <w:spacing w:before="96"/>
              <w:ind w:left="112"/>
              <w:rPr>
                <w:rFonts w:asciiTheme="minorHAnsi" w:hAnsiTheme="minorHAnsi" w:cstheme="minorHAnsi"/>
                <w:sz w:val="20"/>
                <w:szCs w:val="20"/>
              </w:rPr>
            </w:pPr>
            <w:r w:rsidRPr="007444D0">
              <w:rPr>
                <w:rFonts w:asciiTheme="minorHAnsi" w:hAnsiTheme="minorHAnsi" w:cstheme="minorHAnsi"/>
                <w:color w:val="FF0000"/>
                <w:sz w:val="20"/>
                <w:szCs w:val="20"/>
              </w:rPr>
              <w:t>CySA+</w:t>
            </w:r>
          </w:p>
        </w:tc>
        <w:tc>
          <w:tcPr>
            <w:tcW w:w="371" w:type="dxa"/>
            <w:textDirection w:val="btLr"/>
          </w:tcPr>
          <w:p w:rsidR="008866C6" w:rsidRPr="007444D0" w:rsidRDefault="008866C6" w:rsidP="004266D9">
            <w:pPr>
              <w:pStyle w:val="TableParagraph"/>
              <w:spacing w:before="97"/>
              <w:ind w:left="112"/>
              <w:rPr>
                <w:rFonts w:asciiTheme="minorHAnsi" w:hAnsiTheme="minorHAnsi" w:cstheme="minorHAnsi"/>
                <w:sz w:val="20"/>
                <w:szCs w:val="20"/>
              </w:rPr>
            </w:pPr>
            <w:r w:rsidRPr="007444D0">
              <w:rPr>
                <w:rFonts w:asciiTheme="minorHAnsi" w:hAnsiTheme="minorHAnsi" w:cstheme="minorHAnsi"/>
                <w:color w:val="FF0000"/>
                <w:sz w:val="20"/>
                <w:szCs w:val="20"/>
              </w:rPr>
              <w:t>CASP</w:t>
            </w:r>
          </w:p>
        </w:tc>
        <w:tc>
          <w:tcPr>
            <w:tcW w:w="371" w:type="dxa"/>
            <w:textDirection w:val="btLr"/>
          </w:tcPr>
          <w:p w:rsidR="008866C6" w:rsidRPr="007444D0" w:rsidRDefault="008866C6" w:rsidP="004266D9">
            <w:pPr>
              <w:pStyle w:val="TableParagraph"/>
              <w:spacing w:before="97"/>
              <w:ind w:left="112"/>
              <w:rPr>
                <w:rFonts w:asciiTheme="minorHAnsi" w:hAnsiTheme="minorHAnsi" w:cstheme="minorHAnsi"/>
                <w:color w:val="FF0000"/>
                <w:sz w:val="20"/>
                <w:szCs w:val="20"/>
              </w:rPr>
            </w:pPr>
            <w:r w:rsidRPr="007444D0">
              <w:rPr>
                <w:rFonts w:asciiTheme="minorHAnsi" w:hAnsiTheme="minorHAnsi" w:cstheme="minorHAnsi"/>
                <w:color w:val="FF0000"/>
                <w:sz w:val="20"/>
                <w:szCs w:val="20"/>
              </w:rPr>
              <w:t>PenTest+</w:t>
            </w:r>
          </w:p>
        </w:tc>
        <w:tc>
          <w:tcPr>
            <w:tcW w:w="371" w:type="dxa"/>
            <w:textDirection w:val="btLr"/>
          </w:tcPr>
          <w:p w:rsidR="008866C6" w:rsidRPr="007444D0" w:rsidRDefault="008866C6" w:rsidP="004266D9">
            <w:pPr>
              <w:pStyle w:val="TableParagraph"/>
              <w:spacing w:before="97"/>
              <w:ind w:left="112"/>
              <w:rPr>
                <w:rFonts w:asciiTheme="minorHAnsi" w:hAnsiTheme="minorHAnsi" w:cstheme="minorHAnsi"/>
                <w:color w:val="FF0000"/>
                <w:sz w:val="20"/>
                <w:szCs w:val="20"/>
              </w:rPr>
            </w:pPr>
            <w:r w:rsidRPr="007444D0">
              <w:rPr>
                <w:rFonts w:asciiTheme="minorHAnsi" w:hAnsiTheme="minorHAnsi" w:cstheme="minorHAnsi"/>
                <w:color w:val="FF0000"/>
                <w:sz w:val="20"/>
                <w:szCs w:val="20"/>
              </w:rPr>
              <w:t>Linux+</w:t>
            </w:r>
          </w:p>
        </w:tc>
      </w:tr>
      <w:tr w:rsidR="008866C6" w:rsidRPr="00C724B4" w:rsidTr="001B683A">
        <w:trPr>
          <w:trHeight w:hRule="exact" w:val="1000"/>
        </w:trPr>
        <w:tc>
          <w:tcPr>
            <w:tcW w:w="819" w:type="dxa"/>
            <w:tcMar>
              <w:left w:w="14" w:type="dxa"/>
            </w:tcMar>
          </w:tcPr>
          <w:p w:rsidR="008866C6" w:rsidRPr="007444D0" w:rsidRDefault="001B683A" w:rsidP="001B683A">
            <w:pPr>
              <w:pStyle w:val="TableParagraph"/>
              <w:spacing w:before="1"/>
              <w:ind w:right="97"/>
              <w:rPr>
                <w:rFonts w:asciiTheme="minorHAnsi" w:hAnsiTheme="minorHAnsi" w:cstheme="minorHAnsi"/>
                <w:sz w:val="20"/>
                <w:szCs w:val="20"/>
              </w:rPr>
            </w:pPr>
            <w:r>
              <w:rPr>
                <w:rFonts w:asciiTheme="minorHAnsi" w:hAnsiTheme="minorHAnsi" w:cstheme="minorHAnsi"/>
                <w:sz w:val="20"/>
                <w:szCs w:val="20"/>
              </w:rPr>
              <w:t>9/4/19</w:t>
            </w:r>
          </w:p>
        </w:tc>
        <w:tc>
          <w:tcPr>
            <w:tcW w:w="2056" w:type="dxa"/>
            <w:tcMar>
              <w:left w:w="14" w:type="dxa"/>
            </w:tcMar>
          </w:tcPr>
          <w:p w:rsidR="008866C6" w:rsidRPr="007444D0" w:rsidRDefault="001B683A" w:rsidP="001B683A">
            <w:pPr>
              <w:pStyle w:val="TableParagraph"/>
              <w:spacing w:before="1"/>
              <w:rPr>
                <w:rFonts w:asciiTheme="minorHAnsi" w:hAnsiTheme="minorHAnsi" w:cstheme="minorHAnsi"/>
                <w:sz w:val="20"/>
                <w:szCs w:val="20"/>
              </w:rPr>
            </w:pPr>
            <w:r>
              <w:rPr>
                <w:rFonts w:asciiTheme="minorHAnsi" w:hAnsiTheme="minorHAnsi" w:cstheme="minorHAnsi"/>
                <w:sz w:val="20"/>
                <w:szCs w:val="20"/>
              </w:rPr>
              <w:t xml:space="preserve">1:35 p.m. – 2:45 p.m. </w:t>
            </w:r>
          </w:p>
        </w:tc>
        <w:tc>
          <w:tcPr>
            <w:tcW w:w="4935" w:type="dxa"/>
            <w:tcMar>
              <w:left w:w="29" w:type="dxa"/>
            </w:tcMar>
          </w:tcPr>
          <w:p w:rsidR="004821EC" w:rsidRPr="00F3681E" w:rsidRDefault="004821EC" w:rsidP="001B683A">
            <w:pPr>
              <w:rPr>
                <w:rFonts w:eastAsiaTheme="minorHAnsi"/>
                <w:sz w:val="20"/>
                <w:szCs w:val="20"/>
                <w:lang w:bidi="ar-SA"/>
              </w:rPr>
            </w:pPr>
          </w:p>
          <w:p w:rsidR="008866C6" w:rsidRPr="00F3681E" w:rsidRDefault="009470F5" w:rsidP="001B683A">
            <w:pPr>
              <w:pStyle w:val="TableParagraph"/>
              <w:rPr>
                <w:rFonts w:asciiTheme="minorHAnsi" w:hAnsiTheme="minorHAnsi" w:cstheme="minorHAnsi"/>
                <w:sz w:val="20"/>
                <w:szCs w:val="20"/>
              </w:rPr>
            </w:pPr>
            <w:r w:rsidRPr="00F3681E">
              <w:rPr>
                <w:sz w:val="20"/>
                <w:szCs w:val="20"/>
              </w:rPr>
              <w:t>Cyber Supply Chain Risk Management: Identifying &amp; Mitigating Threats to the IC</w:t>
            </w:r>
            <w:r w:rsidR="00E810F6" w:rsidRPr="00F3681E">
              <w:rPr>
                <w:b/>
                <w:sz w:val="20"/>
                <w:szCs w:val="20"/>
              </w:rPr>
              <w:t>*</w:t>
            </w:r>
          </w:p>
        </w:tc>
        <w:tc>
          <w:tcPr>
            <w:tcW w:w="371" w:type="dxa"/>
          </w:tcPr>
          <w:p w:rsidR="008866C6" w:rsidRPr="007444D0" w:rsidRDefault="008866C6" w:rsidP="007C2E64">
            <w:pPr>
              <w:pStyle w:val="TableParagraph"/>
              <w:spacing w:before="1"/>
              <w:ind w:left="103"/>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line="219" w:lineRule="exact"/>
              <w:ind w:left="102"/>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99"/>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100"/>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99"/>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98"/>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97"/>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96"/>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96"/>
              <w:rPr>
                <w:rFonts w:asciiTheme="minorHAnsi" w:hAnsiTheme="minorHAnsi" w:cstheme="minorHAnsi"/>
                <w:color w:val="FF0000"/>
                <w:sz w:val="20"/>
                <w:szCs w:val="20"/>
              </w:rPr>
            </w:pPr>
          </w:p>
        </w:tc>
        <w:tc>
          <w:tcPr>
            <w:tcW w:w="371" w:type="dxa"/>
          </w:tcPr>
          <w:p w:rsidR="008866C6" w:rsidRPr="007444D0" w:rsidRDefault="008866C6" w:rsidP="007C2E64">
            <w:pPr>
              <w:pStyle w:val="TableParagraph"/>
              <w:spacing w:before="1"/>
              <w:ind w:left="96"/>
              <w:rPr>
                <w:rFonts w:asciiTheme="minorHAnsi" w:hAnsiTheme="minorHAnsi" w:cstheme="minorHAnsi"/>
                <w:color w:val="FF0000"/>
                <w:sz w:val="20"/>
                <w:szCs w:val="20"/>
              </w:rPr>
            </w:pPr>
          </w:p>
        </w:tc>
      </w:tr>
      <w:tr w:rsidR="008866C6" w:rsidRPr="00C724B4" w:rsidTr="001B683A">
        <w:trPr>
          <w:trHeight w:hRule="exact" w:val="360"/>
        </w:trPr>
        <w:tc>
          <w:tcPr>
            <w:tcW w:w="819" w:type="dxa"/>
            <w:tcMar>
              <w:left w:w="14" w:type="dxa"/>
            </w:tcMar>
          </w:tcPr>
          <w:p w:rsidR="008866C6" w:rsidRPr="007444D0" w:rsidRDefault="001B683A" w:rsidP="001B683A">
            <w:pPr>
              <w:pStyle w:val="TableParagraph"/>
              <w:spacing w:before="1"/>
              <w:ind w:right="97"/>
              <w:rPr>
                <w:rFonts w:asciiTheme="minorHAnsi" w:hAnsiTheme="minorHAnsi" w:cstheme="minorHAnsi"/>
                <w:sz w:val="20"/>
                <w:szCs w:val="20"/>
              </w:rPr>
            </w:pPr>
            <w:r>
              <w:rPr>
                <w:rFonts w:asciiTheme="minorHAnsi" w:hAnsiTheme="minorHAnsi" w:cstheme="minorHAnsi"/>
                <w:sz w:val="20"/>
                <w:szCs w:val="20"/>
              </w:rPr>
              <w:t>9/5/19</w:t>
            </w:r>
          </w:p>
        </w:tc>
        <w:tc>
          <w:tcPr>
            <w:tcW w:w="2056" w:type="dxa"/>
            <w:tcMar>
              <w:left w:w="14" w:type="dxa"/>
            </w:tcMar>
          </w:tcPr>
          <w:p w:rsidR="008866C6" w:rsidRPr="007444D0" w:rsidRDefault="001B683A" w:rsidP="001B683A">
            <w:pPr>
              <w:pStyle w:val="TableParagraph"/>
              <w:spacing w:before="1"/>
              <w:rPr>
                <w:rFonts w:asciiTheme="minorHAnsi" w:hAnsiTheme="minorHAnsi" w:cstheme="minorHAnsi"/>
                <w:sz w:val="20"/>
                <w:szCs w:val="20"/>
              </w:rPr>
            </w:pPr>
            <w:r>
              <w:rPr>
                <w:rFonts w:asciiTheme="minorHAnsi" w:hAnsiTheme="minorHAnsi" w:cstheme="minorHAnsi"/>
                <w:sz w:val="20"/>
                <w:szCs w:val="20"/>
              </w:rPr>
              <w:t>10:20 a.m. – 11:30 a.m.</w:t>
            </w:r>
          </w:p>
        </w:tc>
        <w:tc>
          <w:tcPr>
            <w:tcW w:w="4935" w:type="dxa"/>
            <w:tcMar>
              <w:left w:w="29" w:type="dxa"/>
            </w:tcMar>
          </w:tcPr>
          <w:p w:rsidR="008866C6" w:rsidRPr="00F3681E" w:rsidRDefault="00E810F6" w:rsidP="001B683A">
            <w:pPr>
              <w:pStyle w:val="TableParagraph"/>
              <w:rPr>
                <w:rFonts w:asciiTheme="minorHAnsi" w:hAnsiTheme="minorHAnsi" w:cstheme="minorHAnsi"/>
                <w:sz w:val="20"/>
                <w:szCs w:val="20"/>
              </w:rPr>
            </w:pPr>
            <w:r w:rsidRPr="00F3681E">
              <w:rPr>
                <w:rFonts w:asciiTheme="minorHAnsi" w:hAnsiTheme="minorHAnsi" w:cstheme="minorHAnsi"/>
                <w:sz w:val="20"/>
                <w:szCs w:val="20"/>
              </w:rPr>
              <w:t>Active Cyber Defense: Whether or Not to Hack Back</w:t>
            </w:r>
            <w:r w:rsidR="001B683A">
              <w:rPr>
                <w:rFonts w:asciiTheme="minorHAnsi" w:hAnsiTheme="minorHAnsi" w:cstheme="minorHAnsi"/>
                <w:sz w:val="20"/>
                <w:szCs w:val="20"/>
              </w:rPr>
              <w:t>*</w:t>
            </w:r>
          </w:p>
        </w:tc>
        <w:tc>
          <w:tcPr>
            <w:tcW w:w="371" w:type="dxa"/>
          </w:tcPr>
          <w:p w:rsidR="008866C6" w:rsidRPr="007444D0" w:rsidRDefault="008866C6" w:rsidP="004266D9">
            <w:pPr>
              <w:pStyle w:val="TableParagraph"/>
              <w:spacing w:before="1"/>
              <w:ind w:left="103"/>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102"/>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100"/>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8"/>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7"/>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r>
      <w:tr w:rsidR="008866C6" w:rsidRPr="00C724B4" w:rsidTr="001B683A">
        <w:trPr>
          <w:trHeight w:hRule="exact" w:val="360"/>
        </w:trPr>
        <w:tc>
          <w:tcPr>
            <w:tcW w:w="819" w:type="dxa"/>
            <w:tcMar>
              <w:left w:w="14" w:type="dxa"/>
            </w:tcMar>
          </w:tcPr>
          <w:p w:rsidR="008866C6" w:rsidRPr="007444D0" w:rsidRDefault="001B683A" w:rsidP="001B683A">
            <w:pPr>
              <w:rPr>
                <w:rFonts w:asciiTheme="minorHAnsi" w:hAnsiTheme="minorHAnsi" w:cstheme="minorHAnsi"/>
                <w:sz w:val="20"/>
                <w:szCs w:val="20"/>
              </w:rPr>
            </w:pPr>
            <w:r>
              <w:rPr>
                <w:rFonts w:asciiTheme="minorHAnsi" w:hAnsiTheme="minorHAnsi" w:cstheme="minorHAnsi"/>
                <w:sz w:val="20"/>
                <w:szCs w:val="20"/>
              </w:rPr>
              <w:t>9/5/19</w:t>
            </w:r>
          </w:p>
        </w:tc>
        <w:tc>
          <w:tcPr>
            <w:tcW w:w="2056" w:type="dxa"/>
            <w:tcMar>
              <w:left w:w="14" w:type="dxa"/>
            </w:tcMar>
          </w:tcPr>
          <w:p w:rsidR="008866C6" w:rsidRPr="007444D0" w:rsidRDefault="001B683A" w:rsidP="001B683A">
            <w:pPr>
              <w:rPr>
                <w:rFonts w:asciiTheme="minorHAnsi" w:hAnsiTheme="minorHAnsi" w:cstheme="minorHAnsi"/>
                <w:sz w:val="20"/>
                <w:szCs w:val="20"/>
              </w:rPr>
            </w:pPr>
            <w:r>
              <w:rPr>
                <w:rFonts w:asciiTheme="minorHAnsi" w:hAnsiTheme="minorHAnsi" w:cstheme="minorHAnsi"/>
                <w:sz w:val="20"/>
                <w:szCs w:val="20"/>
              </w:rPr>
              <w:t xml:space="preserve">11:30 a.m. – 12:30 p.m. </w:t>
            </w:r>
          </w:p>
        </w:tc>
        <w:tc>
          <w:tcPr>
            <w:tcW w:w="4935" w:type="dxa"/>
            <w:tcMar>
              <w:left w:w="29" w:type="dxa"/>
            </w:tcMar>
          </w:tcPr>
          <w:p w:rsidR="008866C6" w:rsidRPr="00F3681E" w:rsidRDefault="00E810F6" w:rsidP="001B683A">
            <w:pPr>
              <w:rPr>
                <w:rFonts w:asciiTheme="minorHAnsi" w:hAnsiTheme="minorHAnsi" w:cstheme="minorHAnsi"/>
                <w:sz w:val="20"/>
                <w:szCs w:val="20"/>
              </w:rPr>
            </w:pPr>
            <w:r w:rsidRPr="00F3681E">
              <w:rPr>
                <w:rFonts w:asciiTheme="minorHAnsi" w:hAnsiTheme="minorHAnsi" w:cstheme="minorHAnsi"/>
                <w:sz w:val="20"/>
                <w:szCs w:val="20"/>
              </w:rPr>
              <w:t>Defending Cyberspace</w:t>
            </w:r>
            <w:r w:rsidR="001B683A">
              <w:rPr>
                <w:rFonts w:asciiTheme="minorHAnsi" w:hAnsiTheme="minorHAnsi" w:cstheme="minorHAnsi"/>
                <w:sz w:val="20"/>
                <w:szCs w:val="20"/>
              </w:rPr>
              <w:t>*</w:t>
            </w:r>
          </w:p>
        </w:tc>
        <w:tc>
          <w:tcPr>
            <w:tcW w:w="371" w:type="dxa"/>
          </w:tcPr>
          <w:p w:rsidR="008866C6" w:rsidRPr="007444D0" w:rsidRDefault="008866C6" w:rsidP="004266D9">
            <w:pPr>
              <w:jc w:val="center"/>
              <w:rPr>
                <w:rFonts w:asciiTheme="minorHAnsi" w:hAnsiTheme="minorHAnsi" w:cstheme="minorHAnsi"/>
                <w:color w:val="FF0000"/>
                <w:sz w:val="20"/>
                <w:szCs w:val="20"/>
              </w:rPr>
            </w:pPr>
          </w:p>
        </w:tc>
        <w:tc>
          <w:tcPr>
            <w:tcW w:w="371" w:type="dxa"/>
          </w:tcPr>
          <w:p w:rsidR="008866C6" w:rsidRPr="007444D0" w:rsidRDefault="008866C6" w:rsidP="004266D9">
            <w:pPr>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100"/>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8"/>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7"/>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r>
      <w:tr w:rsidR="008866C6" w:rsidRPr="00C724B4" w:rsidTr="001B683A">
        <w:trPr>
          <w:trHeight w:hRule="exact" w:val="360"/>
        </w:trPr>
        <w:tc>
          <w:tcPr>
            <w:tcW w:w="819" w:type="dxa"/>
            <w:tcMar>
              <w:left w:w="14" w:type="dxa"/>
            </w:tcMar>
          </w:tcPr>
          <w:p w:rsidR="008866C6" w:rsidRPr="007444D0" w:rsidRDefault="001B683A" w:rsidP="001B683A">
            <w:pPr>
              <w:rPr>
                <w:rFonts w:asciiTheme="minorHAnsi" w:hAnsiTheme="minorHAnsi" w:cstheme="minorHAnsi"/>
                <w:sz w:val="20"/>
                <w:szCs w:val="20"/>
              </w:rPr>
            </w:pPr>
            <w:r>
              <w:rPr>
                <w:rFonts w:asciiTheme="minorHAnsi" w:hAnsiTheme="minorHAnsi" w:cstheme="minorHAnsi"/>
                <w:sz w:val="20"/>
                <w:szCs w:val="20"/>
              </w:rPr>
              <w:t>9/5/19</w:t>
            </w:r>
          </w:p>
        </w:tc>
        <w:tc>
          <w:tcPr>
            <w:tcW w:w="2056" w:type="dxa"/>
            <w:tcMar>
              <w:left w:w="14" w:type="dxa"/>
            </w:tcMar>
          </w:tcPr>
          <w:p w:rsidR="008866C6" w:rsidRPr="007444D0" w:rsidRDefault="001B683A" w:rsidP="001B683A">
            <w:pPr>
              <w:rPr>
                <w:rFonts w:asciiTheme="minorHAnsi" w:hAnsiTheme="minorHAnsi" w:cstheme="minorHAnsi"/>
                <w:sz w:val="20"/>
                <w:szCs w:val="20"/>
              </w:rPr>
            </w:pPr>
            <w:r>
              <w:rPr>
                <w:rFonts w:asciiTheme="minorHAnsi" w:hAnsiTheme="minorHAnsi" w:cstheme="minorHAnsi"/>
                <w:sz w:val="20"/>
                <w:szCs w:val="20"/>
              </w:rPr>
              <w:t xml:space="preserve">2:10 p.m. – 3:20 p.m. </w:t>
            </w:r>
          </w:p>
        </w:tc>
        <w:tc>
          <w:tcPr>
            <w:tcW w:w="4935" w:type="dxa"/>
            <w:tcMar>
              <w:left w:w="29" w:type="dxa"/>
            </w:tcMar>
          </w:tcPr>
          <w:p w:rsidR="008866C6" w:rsidRPr="007444D0" w:rsidRDefault="001B683A" w:rsidP="001B683A">
            <w:pPr>
              <w:rPr>
                <w:rFonts w:asciiTheme="minorHAnsi" w:hAnsiTheme="minorHAnsi" w:cstheme="minorHAnsi"/>
                <w:sz w:val="20"/>
                <w:szCs w:val="20"/>
              </w:rPr>
            </w:pPr>
            <w:r>
              <w:rPr>
                <w:rFonts w:asciiTheme="minorHAnsi" w:hAnsiTheme="minorHAnsi" w:cstheme="minorHAnsi"/>
                <w:sz w:val="20"/>
                <w:szCs w:val="20"/>
              </w:rPr>
              <w:t>Continuous</w:t>
            </w:r>
            <w:r w:rsidR="00F3681E">
              <w:rPr>
                <w:rFonts w:asciiTheme="minorHAnsi" w:hAnsiTheme="minorHAnsi" w:cstheme="minorHAnsi"/>
                <w:sz w:val="20"/>
                <w:szCs w:val="20"/>
              </w:rPr>
              <w:t xml:space="preserve"> Evaluation: Balancing Security &amp; Privacy</w:t>
            </w:r>
            <w:r>
              <w:rPr>
                <w:rFonts w:asciiTheme="minorHAnsi" w:hAnsiTheme="minorHAnsi" w:cstheme="minorHAnsi"/>
                <w:sz w:val="20"/>
                <w:szCs w:val="20"/>
              </w:rPr>
              <w:t>*</w:t>
            </w:r>
          </w:p>
        </w:tc>
        <w:tc>
          <w:tcPr>
            <w:tcW w:w="371" w:type="dxa"/>
          </w:tcPr>
          <w:p w:rsidR="008866C6" w:rsidRPr="007444D0" w:rsidRDefault="008866C6" w:rsidP="004266D9">
            <w:pPr>
              <w:jc w:val="center"/>
              <w:rPr>
                <w:rFonts w:asciiTheme="minorHAnsi" w:hAnsiTheme="minorHAnsi" w:cstheme="minorHAnsi"/>
                <w:color w:val="FF0000"/>
                <w:sz w:val="20"/>
                <w:szCs w:val="20"/>
              </w:rPr>
            </w:pPr>
          </w:p>
        </w:tc>
        <w:tc>
          <w:tcPr>
            <w:tcW w:w="371" w:type="dxa"/>
          </w:tcPr>
          <w:p w:rsidR="008866C6" w:rsidRPr="007444D0" w:rsidRDefault="008866C6" w:rsidP="004266D9">
            <w:pPr>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100"/>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8"/>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7"/>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r>
      <w:tr w:rsidR="008866C6" w:rsidRPr="00C724B4" w:rsidTr="001B683A">
        <w:trPr>
          <w:trHeight w:hRule="exact" w:val="360"/>
        </w:trPr>
        <w:tc>
          <w:tcPr>
            <w:tcW w:w="819" w:type="dxa"/>
            <w:tcMar>
              <w:left w:w="14" w:type="dxa"/>
            </w:tcMar>
          </w:tcPr>
          <w:p w:rsidR="008866C6" w:rsidRPr="007444D0" w:rsidRDefault="008866C6" w:rsidP="0067587D">
            <w:pPr>
              <w:jc w:val="center"/>
              <w:rPr>
                <w:rFonts w:asciiTheme="minorHAnsi" w:hAnsiTheme="minorHAnsi" w:cstheme="minorHAnsi"/>
                <w:sz w:val="20"/>
                <w:szCs w:val="20"/>
              </w:rPr>
            </w:pPr>
          </w:p>
        </w:tc>
        <w:tc>
          <w:tcPr>
            <w:tcW w:w="2056" w:type="dxa"/>
            <w:tcMar>
              <w:left w:w="14" w:type="dxa"/>
            </w:tcMar>
          </w:tcPr>
          <w:p w:rsidR="008866C6" w:rsidRPr="007444D0" w:rsidRDefault="008866C6" w:rsidP="004266D9">
            <w:pPr>
              <w:jc w:val="center"/>
              <w:rPr>
                <w:rFonts w:asciiTheme="minorHAnsi" w:hAnsiTheme="minorHAnsi" w:cstheme="minorHAnsi"/>
                <w:sz w:val="20"/>
                <w:szCs w:val="20"/>
              </w:rPr>
            </w:pPr>
          </w:p>
        </w:tc>
        <w:tc>
          <w:tcPr>
            <w:tcW w:w="4935" w:type="dxa"/>
            <w:noWrap/>
            <w:tcMar>
              <w:left w:w="29" w:type="dxa"/>
            </w:tcMar>
          </w:tcPr>
          <w:p w:rsidR="008866C6" w:rsidRPr="007444D0" w:rsidRDefault="008866C6" w:rsidP="004266D9">
            <w:pPr>
              <w:jc w:val="center"/>
              <w:rPr>
                <w:rFonts w:asciiTheme="minorHAnsi" w:hAnsiTheme="minorHAnsi" w:cstheme="minorHAnsi"/>
                <w:sz w:val="20"/>
                <w:szCs w:val="20"/>
              </w:rPr>
            </w:pPr>
          </w:p>
        </w:tc>
        <w:tc>
          <w:tcPr>
            <w:tcW w:w="371" w:type="dxa"/>
          </w:tcPr>
          <w:p w:rsidR="008866C6" w:rsidRPr="007444D0" w:rsidRDefault="008866C6" w:rsidP="004266D9">
            <w:pPr>
              <w:pStyle w:val="TableParagraph"/>
              <w:spacing w:line="219" w:lineRule="exact"/>
              <w:ind w:left="103"/>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line="219" w:lineRule="exact"/>
              <w:ind w:left="102"/>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100"/>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9"/>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8"/>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7"/>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c>
          <w:tcPr>
            <w:tcW w:w="371" w:type="dxa"/>
          </w:tcPr>
          <w:p w:rsidR="008866C6" w:rsidRPr="007444D0" w:rsidRDefault="008866C6" w:rsidP="004266D9">
            <w:pPr>
              <w:pStyle w:val="TableParagraph"/>
              <w:spacing w:before="1"/>
              <w:ind w:left="96"/>
              <w:jc w:val="center"/>
              <w:rPr>
                <w:rFonts w:asciiTheme="minorHAnsi" w:hAnsiTheme="minorHAnsi" w:cstheme="minorHAnsi"/>
                <w:color w:val="FF0000"/>
                <w:sz w:val="20"/>
                <w:szCs w:val="20"/>
              </w:rPr>
            </w:pPr>
          </w:p>
        </w:tc>
      </w:tr>
    </w:tbl>
    <w:p w:rsidR="008866C6" w:rsidRDefault="008866C6" w:rsidP="007C2E64">
      <w:pPr>
        <w:widowControl/>
        <w:autoSpaceDE/>
        <w:autoSpaceDN/>
        <w:spacing w:after="200" w:line="276" w:lineRule="auto"/>
        <w:jc w:val="center"/>
        <w:rPr>
          <w:rFonts w:cs="Times New Roman"/>
          <w:b/>
          <w:color w:val="C00000"/>
          <w:sz w:val="24"/>
          <w:szCs w:val="24"/>
          <w:lang w:bidi="ar-SA"/>
        </w:rPr>
      </w:pPr>
    </w:p>
    <w:p w:rsidR="00EB1D8C" w:rsidRDefault="00F9022D" w:rsidP="007C2E64">
      <w:pPr>
        <w:widowControl/>
        <w:autoSpaceDE/>
        <w:autoSpaceDN/>
        <w:spacing w:after="200" w:line="276" w:lineRule="auto"/>
        <w:jc w:val="center"/>
        <w:rPr>
          <w:sz w:val="18"/>
        </w:rPr>
      </w:pPr>
      <w:r w:rsidRPr="00F9022D">
        <w:rPr>
          <w:rFonts w:cs="Times New Roman"/>
          <w:b/>
          <w:color w:val="C00000"/>
          <w:sz w:val="24"/>
          <w:szCs w:val="24"/>
          <w:lang w:bidi="ar-SA"/>
        </w:rPr>
        <w:t>If in doubt, please check with your supervisor to confirm which sessions meet your training requirements.</w:t>
      </w:r>
    </w:p>
    <w:p w:rsidR="00EB1D8C" w:rsidRDefault="00EB1D8C" w:rsidP="00F9022D">
      <w:pPr>
        <w:spacing w:line="219" w:lineRule="exact"/>
        <w:jc w:val="center"/>
        <w:rPr>
          <w:sz w:val="18"/>
        </w:rPr>
      </w:pPr>
    </w:p>
    <w:p w:rsidR="00EB1D8C" w:rsidRPr="00EB1D8C" w:rsidRDefault="00EB1D8C" w:rsidP="00EB1D8C">
      <w:pPr>
        <w:spacing w:line="219" w:lineRule="exact"/>
        <w:jc w:val="both"/>
        <w:rPr>
          <w:sz w:val="18"/>
        </w:rPr>
        <w:sectPr w:rsidR="00EB1D8C" w:rsidRPr="00EB1D8C" w:rsidSect="009A2AD5">
          <w:footerReference w:type="default" r:id="rId8"/>
          <w:type w:val="continuous"/>
          <w:pgSz w:w="12240" w:h="15840"/>
          <w:pgMar w:top="360" w:right="360" w:bottom="360" w:left="360" w:header="720" w:footer="936" w:gutter="0"/>
          <w:cols w:space="720"/>
        </w:sectPr>
      </w:pPr>
      <w:r w:rsidRPr="00EB1D8C">
        <w:rPr>
          <w:sz w:val="18"/>
        </w:rPr>
        <w:t>*Session is under review for certification maintenance</w:t>
      </w:r>
      <w:r w:rsidR="00AA7F64">
        <w:rPr>
          <w:sz w:val="18"/>
        </w:rPr>
        <w:t xml:space="preserve"> </w:t>
      </w:r>
    </w:p>
    <w:p w:rsidR="004B1590" w:rsidRDefault="000D0CBE">
      <w:pPr>
        <w:pStyle w:val="BodyText"/>
        <w:spacing w:before="47"/>
        <w:ind w:left="208" w:right="343"/>
        <w:jc w:val="both"/>
      </w:pPr>
      <w:r>
        <w:lastRenderedPageBreak/>
        <w:t xml:space="preserve">Our Continuing Education (CE) program is designed to support certifications related to U.S. Federal Government requirements. Several </w:t>
      </w:r>
      <w:r w:rsidR="009F26AF">
        <w:t>Intelligence &amp; National Security Summit 2019</w:t>
      </w:r>
      <w:r w:rsidR="00F71FCE">
        <w:t xml:space="preserve"> </w:t>
      </w:r>
      <w:r>
        <w:t xml:space="preserve">sessions have been approved to meet CompTIA, GIAC, and/or </w:t>
      </w:r>
      <w:r w:rsidR="006A6D6A">
        <w:t>CertNexus</w:t>
      </w:r>
      <w:r>
        <w:t xml:space="preserve">, and </w:t>
      </w:r>
      <w:r>
        <w:rPr>
          <w:u w:val="single"/>
        </w:rPr>
        <w:t>may also support</w:t>
      </w:r>
      <w:r>
        <w:t xml:space="preserve"> (ISC)</w:t>
      </w:r>
      <w:r>
        <w:rPr>
          <w:position w:val="5"/>
          <w:sz w:val="12"/>
        </w:rPr>
        <w:t>2</w:t>
      </w:r>
      <w:r>
        <w:t>, National Contract Management Association (NCMA), Project Management Institute (PMI), GAGAS, and Defense Acquisition Workforce continuing education and/or certification maintenance requirements.</w:t>
      </w:r>
    </w:p>
    <w:p w:rsidR="004B1590" w:rsidRDefault="004B1590">
      <w:pPr>
        <w:pStyle w:val="BodyText"/>
      </w:pPr>
    </w:p>
    <w:p w:rsidR="004B1590" w:rsidRDefault="000D0CBE">
      <w:pPr>
        <w:pStyle w:val="ListParagraph"/>
        <w:numPr>
          <w:ilvl w:val="0"/>
          <w:numId w:val="1"/>
        </w:numPr>
        <w:tabs>
          <w:tab w:val="left" w:pos="567"/>
          <w:tab w:val="left" w:pos="568"/>
        </w:tabs>
        <w:spacing w:before="1"/>
        <w:ind w:right="455"/>
        <w:rPr>
          <w:sz w:val="18"/>
        </w:rPr>
      </w:pPr>
      <w:r>
        <w:rPr>
          <w:b/>
          <w:color w:val="933634"/>
          <w:sz w:val="18"/>
        </w:rPr>
        <w:t xml:space="preserve">How do I identify symposium sessions that are approved for CompTIA CEUs, GIAC CPEs or </w:t>
      </w:r>
      <w:r w:rsidR="006A6D6A">
        <w:rPr>
          <w:b/>
          <w:color w:val="933634"/>
          <w:sz w:val="18"/>
        </w:rPr>
        <w:t>CertNexus</w:t>
      </w:r>
      <w:r>
        <w:rPr>
          <w:b/>
          <w:color w:val="933634"/>
          <w:sz w:val="18"/>
        </w:rPr>
        <w:t xml:space="preserve"> CECs? </w:t>
      </w:r>
      <w:r>
        <w:rPr>
          <w:sz w:val="18"/>
        </w:rPr>
        <w:t>Approved sessions are noted on the reverse side of this flyer, and will be included in the event show guide and mobile application, and on the event</w:t>
      </w:r>
      <w:r>
        <w:rPr>
          <w:spacing w:val="-14"/>
          <w:sz w:val="18"/>
        </w:rPr>
        <w:t xml:space="preserve"> </w:t>
      </w:r>
      <w:r>
        <w:rPr>
          <w:sz w:val="18"/>
        </w:rPr>
        <w:t>website.</w:t>
      </w:r>
    </w:p>
    <w:p w:rsidR="004B1590" w:rsidRDefault="004B1590">
      <w:pPr>
        <w:pStyle w:val="BodyText"/>
        <w:spacing w:before="10"/>
        <w:rPr>
          <w:sz w:val="17"/>
        </w:rPr>
      </w:pPr>
    </w:p>
    <w:p w:rsidR="004B1590" w:rsidRDefault="000D0CBE">
      <w:pPr>
        <w:pStyle w:val="ListParagraph"/>
        <w:numPr>
          <w:ilvl w:val="0"/>
          <w:numId w:val="1"/>
        </w:numPr>
        <w:tabs>
          <w:tab w:val="left" w:pos="567"/>
          <w:tab w:val="left" w:pos="568"/>
        </w:tabs>
        <w:ind w:right="530"/>
        <w:rPr>
          <w:sz w:val="18"/>
        </w:rPr>
      </w:pPr>
      <w:r>
        <w:rPr>
          <w:b/>
          <w:color w:val="933634"/>
          <w:sz w:val="18"/>
        </w:rPr>
        <w:t xml:space="preserve">How do I obtain the session documentation required for me to submit to CompTIA, GIAC and/or </w:t>
      </w:r>
      <w:r w:rsidR="006A6D6A">
        <w:rPr>
          <w:b/>
          <w:color w:val="933634"/>
          <w:sz w:val="18"/>
        </w:rPr>
        <w:t>CertNexus</w:t>
      </w:r>
      <w:r>
        <w:rPr>
          <w:b/>
          <w:color w:val="933634"/>
          <w:sz w:val="18"/>
        </w:rPr>
        <w:t xml:space="preserve">? </w:t>
      </w:r>
      <w:r>
        <w:rPr>
          <w:sz w:val="18"/>
        </w:rPr>
        <w:t xml:space="preserve">Formal attendance documentation is a benefit of AFCEA membership and a service provided to attendees who purchased a continuing education (CE) pass for the event. Participation in an event session qualifying for CompTIA CEUs, GIAC CPEs, </w:t>
      </w:r>
      <w:r w:rsidR="006A6D6A">
        <w:rPr>
          <w:sz w:val="18"/>
        </w:rPr>
        <w:t>CertNexus</w:t>
      </w:r>
      <w:r>
        <w:rPr>
          <w:sz w:val="18"/>
        </w:rPr>
        <w:t xml:space="preserve"> CECs is required. On exiting the session, get your event badge scanned so that we can document your attendance.</w:t>
      </w:r>
      <w:r>
        <w:rPr>
          <w:spacing w:val="8"/>
          <w:sz w:val="18"/>
        </w:rPr>
        <w:t xml:space="preserve"> </w:t>
      </w:r>
      <w:r>
        <w:rPr>
          <w:sz w:val="18"/>
        </w:rPr>
        <w:t xml:space="preserve">We will email documentation of attendance to AFCEA members by </w:t>
      </w:r>
      <w:r w:rsidR="009F26AF">
        <w:rPr>
          <w:sz w:val="18"/>
        </w:rPr>
        <w:t>October 11</w:t>
      </w:r>
      <w:r w:rsidR="001764DF">
        <w:rPr>
          <w:sz w:val="18"/>
        </w:rPr>
        <w:t>, 2019</w:t>
      </w:r>
      <w:r>
        <w:rPr>
          <w:sz w:val="18"/>
        </w:rPr>
        <w:t>.</w:t>
      </w:r>
    </w:p>
    <w:p w:rsidR="00A63960" w:rsidRDefault="00A63960" w:rsidP="006F5B78">
      <w:pPr>
        <w:pStyle w:val="BodyText"/>
        <w:spacing w:line="219" w:lineRule="exact"/>
        <w:rPr>
          <w:color w:val="FF0000"/>
        </w:rPr>
      </w:pPr>
    </w:p>
    <w:p w:rsidR="004B1590" w:rsidRDefault="000D0CBE">
      <w:pPr>
        <w:pStyle w:val="ListParagraph"/>
        <w:numPr>
          <w:ilvl w:val="0"/>
          <w:numId w:val="1"/>
        </w:numPr>
        <w:tabs>
          <w:tab w:val="left" w:pos="567"/>
          <w:tab w:val="left" w:pos="568"/>
        </w:tabs>
        <w:ind w:right="201"/>
        <w:rPr>
          <w:sz w:val="18"/>
        </w:rPr>
      </w:pPr>
      <w:r>
        <w:rPr>
          <w:b/>
          <w:color w:val="933634"/>
          <w:sz w:val="18"/>
        </w:rPr>
        <w:t xml:space="preserve">Will attendance documentation be available for all approved sessions listed on the flyer? </w:t>
      </w:r>
      <w:r w:rsidR="006F5B78">
        <w:rPr>
          <w:b/>
          <w:color w:val="933634"/>
          <w:sz w:val="18"/>
        </w:rPr>
        <w:t xml:space="preserve">    </w:t>
      </w:r>
      <w:r w:rsidR="006F5B78">
        <w:rPr>
          <w:sz w:val="18"/>
        </w:rPr>
        <w:t>Only sessions which last at least one hour will qualify for CEUs, CPEs and/or CECs so be sure to take the opportunity to ask questions of the</w:t>
      </w:r>
      <w:r w:rsidR="006F5B78">
        <w:rPr>
          <w:spacing w:val="-8"/>
          <w:sz w:val="18"/>
        </w:rPr>
        <w:t xml:space="preserve"> </w:t>
      </w:r>
      <w:r w:rsidR="006F5B78">
        <w:rPr>
          <w:sz w:val="18"/>
        </w:rPr>
        <w:t>speaker.  F</w:t>
      </w:r>
      <w:r>
        <w:rPr>
          <w:sz w:val="18"/>
        </w:rPr>
        <w:t>ormal attendance documentation is only provided for current AFCEA members and for CE Pass holders</w:t>
      </w:r>
      <w:r w:rsidR="006F5B78">
        <w:rPr>
          <w:sz w:val="18"/>
        </w:rPr>
        <w:t xml:space="preserve"> who had badges scanned for attendance purposes</w:t>
      </w:r>
      <w:r w:rsidR="006F5B78" w:rsidRPr="006F5B78">
        <w:rPr>
          <w:sz w:val="18"/>
        </w:rPr>
        <w:t xml:space="preserve"> </w:t>
      </w:r>
      <w:r w:rsidR="006F5B78">
        <w:rPr>
          <w:sz w:val="18"/>
        </w:rPr>
        <w:t>at applicable sessions</w:t>
      </w:r>
      <w:r>
        <w:rPr>
          <w:sz w:val="18"/>
        </w:rPr>
        <w:t xml:space="preserve">. </w:t>
      </w:r>
    </w:p>
    <w:p w:rsidR="004B1590" w:rsidRDefault="004B1590">
      <w:pPr>
        <w:pStyle w:val="BodyText"/>
        <w:spacing w:before="5"/>
        <w:rPr>
          <w:sz w:val="16"/>
        </w:rPr>
      </w:pPr>
    </w:p>
    <w:p w:rsidR="004B1590" w:rsidRDefault="000D0CBE">
      <w:pPr>
        <w:pStyle w:val="ListParagraph"/>
        <w:numPr>
          <w:ilvl w:val="0"/>
          <w:numId w:val="1"/>
        </w:numPr>
        <w:tabs>
          <w:tab w:val="left" w:pos="567"/>
          <w:tab w:val="left" w:pos="568"/>
        </w:tabs>
        <w:rPr>
          <w:b/>
          <w:sz w:val="18"/>
        </w:rPr>
      </w:pPr>
      <w:r>
        <w:rPr>
          <w:b/>
          <w:color w:val="933634"/>
          <w:sz w:val="18"/>
        </w:rPr>
        <w:t>What if I need additional information about specific continuing education</w:t>
      </w:r>
      <w:r>
        <w:rPr>
          <w:b/>
          <w:color w:val="933634"/>
          <w:spacing w:val="-8"/>
          <w:sz w:val="18"/>
        </w:rPr>
        <w:t xml:space="preserve"> </w:t>
      </w:r>
      <w:r>
        <w:rPr>
          <w:b/>
          <w:color w:val="933634"/>
          <w:sz w:val="18"/>
        </w:rPr>
        <w:t>programs?</w:t>
      </w:r>
    </w:p>
    <w:p w:rsidR="004B1590" w:rsidRDefault="004B1590">
      <w:pPr>
        <w:pStyle w:val="BodyText"/>
        <w:spacing w:before="12"/>
        <w:rPr>
          <w:b/>
          <w:sz w:val="20"/>
        </w:rPr>
      </w:pPr>
    </w:p>
    <w:tbl>
      <w:tblPr>
        <w:tblW w:w="11458" w:type="dxa"/>
        <w:tblInd w:w="180" w:type="dxa"/>
        <w:tblLayout w:type="fixed"/>
        <w:tblCellMar>
          <w:left w:w="0" w:type="dxa"/>
          <w:right w:w="0" w:type="dxa"/>
        </w:tblCellMar>
        <w:tblLook w:val="01E0" w:firstRow="1" w:lastRow="1" w:firstColumn="1" w:lastColumn="1" w:noHBand="0" w:noVBand="0"/>
      </w:tblPr>
      <w:tblGrid>
        <w:gridCol w:w="1876"/>
        <w:gridCol w:w="9582"/>
      </w:tblGrid>
      <w:tr w:rsidR="004B1590" w:rsidTr="000B0817">
        <w:trPr>
          <w:trHeight w:val="1347"/>
        </w:trPr>
        <w:tc>
          <w:tcPr>
            <w:tcW w:w="1876" w:type="dxa"/>
          </w:tcPr>
          <w:p w:rsidR="004B1590" w:rsidRDefault="004B1590">
            <w:pPr>
              <w:pStyle w:val="TableParagraph"/>
              <w:rPr>
                <w:b/>
                <w:sz w:val="20"/>
              </w:rPr>
            </w:pPr>
          </w:p>
          <w:p w:rsidR="004B1590" w:rsidRDefault="004B1590">
            <w:pPr>
              <w:pStyle w:val="TableParagraph"/>
              <w:spacing w:before="8"/>
              <w:rPr>
                <w:b/>
                <w:sz w:val="12"/>
              </w:rPr>
            </w:pPr>
          </w:p>
          <w:p w:rsidR="004B1590" w:rsidRDefault="000D0CBE">
            <w:pPr>
              <w:pStyle w:val="TableParagraph"/>
              <w:ind w:left="207"/>
              <w:rPr>
                <w:sz w:val="20"/>
              </w:rPr>
            </w:pPr>
            <w:r>
              <w:rPr>
                <w:noProof/>
                <w:sz w:val="20"/>
                <w:lang w:bidi="ar-SA"/>
              </w:rPr>
              <w:drawing>
                <wp:inline distT="0" distB="0" distL="0" distR="0">
                  <wp:extent cx="980672" cy="24383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980672" cy="243839"/>
                          </a:xfrm>
                          <a:prstGeom prst="rect">
                            <a:avLst/>
                          </a:prstGeom>
                        </pic:spPr>
                      </pic:pic>
                    </a:graphicData>
                  </a:graphic>
                </wp:inline>
              </w:drawing>
            </w:r>
          </w:p>
        </w:tc>
        <w:tc>
          <w:tcPr>
            <w:tcW w:w="9582" w:type="dxa"/>
          </w:tcPr>
          <w:p w:rsidR="004B1590" w:rsidRDefault="000D0CBE">
            <w:pPr>
              <w:pStyle w:val="TableParagraph"/>
              <w:spacing w:line="183" w:lineRule="exact"/>
              <w:ind w:left="185"/>
              <w:rPr>
                <w:sz w:val="18"/>
              </w:rPr>
            </w:pPr>
            <w:r>
              <w:rPr>
                <w:sz w:val="18"/>
              </w:rPr>
              <w:t>CompTIA allows individuals to keep their skills current and many of their certifications up to date without retesting by</w:t>
            </w:r>
          </w:p>
          <w:p w:rsidR="004B1590" w:rsidRDefault="000D0CBE">
            <w:pPr>
              <w:pStyle w:val="TableParagraph"/>
              <w:spacing w:before="1"/>
              <w:ind w:left="185" w:right="1346"/>
              <w:rPr>
                <w:sz w:val="18"/>
              </w:rPr>
            </w:pPr>
            <w:r>
              <w:rPr>
                <w:sz w:val="18"/>
              </w:rPr>
              <w:t xml:space="preserve">participation in CEU-qualified training activities. For details on CompTIA Continuing Education Program FAQs: </w:t>
            </w:r>
            <w:hyperlink r:id="rId10" w:history="1">
              <w:r w:rsidR="009470F5" w:rsidRPr="0066423E">
                <w:rPr>
                  <w:rStyle w:val="Hyperlink"/>
                  <w:sz w:val="18"/>
                  <w:u w:color="0000FF"/>
                </w:rPr>
                <w:t>https://certification.comptia.org/continuing-education/how-to-renew/earn-continuing-education-units</w:t>
              </w:r>
              <w:r w:rsidR="009470F5" w:rsidRPr="0066423E">
                <w:rPr>
                  <w:rStyle w:val="Hyperlink"/>
                  <w:sz w:val="18"/>
                </w:rPr>
                <w:t>.</w:t>
              </w:r>
            </w:hyperlink>
          </w:p>
          <w:p w:rsidR="004B1590" w:rsidRDefault="004B1590">
            <w:pPr>
              <w:pStyle w:val="TableParagraph"/>
              <w:spacing w:before="10"/>
              <w:rPr>
                <w:b/>
                <w:sz w:val="17"/>
              </w:rPr>
            </w:pPr>
          </w:p>
          <w:p w:rsidR="004B1590" w:rsidRDefault="000D0CBE">
            <w:pPr>
              <w:pStyle w:val="TableParagraph"/>
              <w:spacing w:before="1"/>
              <w:ind w:left="185"/>
              <w:rPr>
                <w:b/>
                <w:sz w:val="20"/>
              </w:rPr>
            </w:pPr>
            <w:r>
              <w:rPr>
                <w:b/>
                <w:color w:val="FF0000"/>
                <w:sz w:val="20"/>
              </w:rPr>
              <w:t xml:space="preserve">AFCEA members can receive up to a 15% discount on Certification Vouchers at </w:t>
            </w:r>
            <w:hyperlink r:id="rId11">
              <w:r>
                <w:rPr>
                  <w:b/>
                  <w:color w:val="FF0000"/>
                  <w:sz w:val="20"/>
                  <w:u w:val="single" w:color="FF0000"/>
                </w:rPr>
                <w:t>www.traintestcert.com</w:t>
              </w:r>
            </w:hyperlink>
          </w:p>
        </w:tc>
      </w:tr>
      <w:tr w:rsidR="004B1590" w:rsidTr="000B0817">
        <w:trPr>
          <w:trHeight w:val="1416"/>
        </w:trPr>
        <w:tc>
          <w:tcPr>
            <w:tcW w:w="1876" w:type="dxa"/>
          </w:tcPr>
          <w:p w:rsidR="004B1590" w:rsidRDefault="004B1590">
            <w:pPr>
              <w:pStyle w:val="TableParagraph"/>
              <w:spacing w:before="8"/>
              <w:rPr>
                <w:b/>
                <w:sz w:val="21"/>
              </w:rPr>
            </w:pPr>
          </w:p>
          <w:p w:rsidR="004B1590" w:rsidRDefault="000D0CBE">
            <w:pPr>
              <w:pStyle w:val="TableParagraph"/>
              <w:ind w:left="396"/>
              <w:rPr>
                <w:sz w:val="20"/>
              </w:rPr>
            </w:pPr>
            <w:r>
              <w:rPr>
                <w:noProof/>
                <w:sz w:val="20"/>
                <w:lang w:bidi="ar-SA"/>
              </w:rPr>
              <w:drawing>
                <wp:inline distT="0" distB="0" distL="0" distR="0">
                  <wp:extent cx="617220" cy="61722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617220" cy="617220"/>
                          </a:xfrm>
                          <a:prstGeom prst="rect">
                            <a:avLst/>
                          </a:prstGeom>
                        </pic:spPr>
                      </pic:pic>
                    </a:graphicData>
                  </a:graphic>
                </wp:inline>
              </w:drawing>
            </w:r>
          </w:p>
        </w:tc>
        <w:tc>
          <w:tcPr>
            <w:tcW w:w="9582" w:type="dxa"/>
          </w:tcPr>
          <w:p w:rsidR="004B1590" w:rsidRDefault="004B1590">
            <w:pPr>
              <w:pStyle w:val="TableParagraph"/>
              <w:rPr>
                <w:b/>
                <w:sz w:val="18"/>
              </w:rPr>
            </w:pPr>
          </w:p>
          <w:p w:rsidR="004B1590" w:rsidRDefault="004B1590">
            <w:pPr>
              <w:pStyle w:val="TableParagraph"/>
              <w:spacing w:before="9"/>
              <w:rPr>
                <w:b/>
                <w:sz w:val="14"/>
              </w:rPr>
            </w:pPr>
          </w:p>
          <w:p w:rsidR="004B1590" w:rsidRDefault="000D0CBE">
            <w:pPr>
              <w:pStyle w:val="TableParagraph"/>
              <w:ind w:left="185" w:right="234"/>
              <w:rPr>
                <w:sz w:val="18"/>
              </w:rPr>
            </w:pPr>
            <w:r>
              <w:rPr>
                <w:sz w:val="18"/>
              </w:rPr>
              <w:t xml:space="preserve">Each GIAC certification remains valid for 4 years. Two years after certification the renewal process will begin, and individuals must maintain their credentials through Continuing Professional Experience (CPE). For details visit: </w:t>
            </w:r>
            <w:hyperlink r:id="rId13">
              <w:r>
                <w:rPr>
                  <w:color w:val="0000FF"/>
                  <w:sz w:val="18"/>
                  <w:u w:val="single" w:color="0000FF"/>
                </w:rPr>
                <w:t>http://www.giac.org/pdfs/cert-renewal/faq.pdf</w:t>
              </w:r>
              <w:r>
                <w:rPr>
                  <w:sz w:val="18"/>
                </w:rPr>
                <w:t>.</w:t>
              </w:r>
            </w:hyperlink>
            <w:r>
              <w:rPr>
                <w:sz w:val="18"/>
              </w:rPr>
              <w:t xml:space="preserve"> You may also email </w:t>
            </w:r>
            <w:hyperlink r:id="rId14">
              <w:r>
                <w:rPr>
                  <w:color w:val="0000FF"/>
                  <w:sz w:val="18"/>
                  <w:u w:val="single" w:color="0000FF"/>
                </w:rPr>
                <w:t>cert-renewal@giac.org</w:t>
              </w:r>
              <w:r>
                <w:rPr>
                  <w:sz w:val="18"/>
                </w:rPr>
                <w:t>.</w:t>
              </w:r>
            </w:hyperlink>
          </w:p>
        </w:tc>
      </w:tr>
      <w:tr w:rsidR="004B1590" w:rsidTr="000B0817">
        <w:trPr>
          <w:trHeight w:val="1375"/>
        </w:trPr>
        <w:tc>
          <w:tcPr>
            <w:tcW w:w="1876" w:type="dxa"/>
          </w:tcPr>
          <w:p w:rsidR="004B1590" w:rsidRDefault="004B1590">
            <w:pPr>
              <w:pStyle w:val="TableParagraph"/>
              <w:rPr>
                <w:b/>
                <w:sz w:val="20"/>
              </w:rPr>
            </w:pPr>
          </w:p>
          <w:p w:rsidR="004B1590" w:rsidRDefault="004B1590">
            <w:pPr>
              <w:pStyle w:val="TableParagraph"/>
              <w:rPr>
                <w:b/>
                <w:sz w:val="11"/>
              </w:rPr>
            </w:pPr>
          </w:p>
          <w:p w:rsidR="004B1590" w:rsidRDefault="000D0CBE">
            <w:pPr>
              <w:pStyle w:val="TableParagraph"/>
              <w:ind w:left="370"/>
              <w:rPr>
                <w:sz w:val="20"/>
              </w:rPr>
            </w:pPr>
            <w:r>
              <w:rPr>
                <w:noProof/>
                <w:sz w:val="20"/>
                <w:lang w:bidi="ar-SA"/>
              </w:rPr>
              <w:drawing>
                <wp:inline distT="0" distB="0" distL="0" distR="0">
                  <wp:extent cx="614362" cy="32766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614362" cy="327660"/>
                          </a:xfrm>
                          <a:prstGeom prst="rect">
                            <a:avLst/>
                          </a:prstGeom>
                        </pic:spPr>
                      </pic:pic>
                    </a:graphicData>
                  </a:graphic>
                </wp:inline>
              </w:drawing>
            </w:r>
          </w:p>
        </w:tc>
        <w:tc>
          <w:tcPr>
            <w:tcW w:w="9582" w:type="dxa"/>
          </w:tcPr>
          <w:p w:rsidR="004B1590" w:rsidRDefault="004B1590">
            <w:pPr>
              <w:pStyle w:val="TableParagraph"/>
              <w:spacing w:before="9"/>
              <w:rPr>
                <w:b/>
                <w:sz w:val="26"/>
              </w:rPr>
            </w:pPr>
          </w:p>
          <w:p w:rsidR="004B1590" w:rsidRDefault="000D0CBE">
            <w:pPr>
              <w:pStyle w:val="TableParagraph"/>
              <w:ind w:left="185" w:right="181"/>
              <w:rPr>
                <w:sz w:val="18"/>
              </w:rPr>
            </w:pPr>
            <w:r>
              <w:rPr>
                <w:sz w:val="18"/>
              </w:rPr>
              <w:t xml:space="preserve">Credential holders must earn the minimum number of Continuing Professional Experience (CPEs) annually during each year of the three-year certification cycle. Members must earn and submit the minimum </w:t>
            </w:r>
            <w:r>
              <w:rPr>
                <w:b/>
                <w:i/>
                <w:sz w:val="18"/>
              </w:rPr>
              <w:t xml:space="preserve">annual </w:t>
            </w:r>
            <w:r>
              <w:rPr>
                <w:sz w:val="18"/>
              </w:rPr>
              <w:t xml:space="preserve">number of CPEs to maintain their certification in </w:t>
            </w:r>
            <w:hyperlink r:id="rId16">
              <w:r>
                <w:rPr>
                  <w:b/>
                  <w:sz w:val="18"/>
                </w:rPr>
                <w:t xml:space="preserve">“good standing.” </w:t>
              </w:r>
            </w:hyperlink>
            <w:r>
              <w:rPr>
                <w:sz w:val="18"/>
              </w:rPr>
              <w:t xml:space="preserve">For more information visit </w:t>
            </w:r>
            <w:hyperlink r:id="rId17">
              <w:r>
                <w:rPr>
                  <w:color w:val="0000FF"/>
                  <w:sz w:val="18"/>
                  <w:u w:val="single" w:color="0000FF"/>
                </w:rPr>
                <w:t>https://www.isc2.org/maintaining-your-credential.aspx</w:t>
              </w:r>
              <w:r>
                <w:rPr>
                  <w:sz w:val="18"/>
                </w:rPr>
                <w:t>.</w:t>
              </w:r>
            </w:hyperlink>
          </w:p>
        </w:tc>
      </w:tr>
      <w:tr w:rsidR="004B1590" w:rsidTr="000B0817">
        <w:trPr>
          <w:trHeight w:val="907"/>
        </w:trPr>
        <w:tc>
          <w:tcPr>
            <w:tcW w:w="1876" w:type="dxa"/>
          </w:tcPr>
          <w:p w:rsidR="004B1590" w:rsidRDefault="004B1590">
            <w:pPr>
              <w:pStyle w:val="TableParagraph"/>
              <w:spacing w:before="5"/>
              <w:rPr>
                <w:b/>
                <w:sz w:val="19"/>
              </w:rPr>
            </w:pPr>
          </w:p>
          <w:p w:rsidR="004B1590" w:rsidRDefault="000D0CBE">
            <w:pPr>
              <w:pStyle w:val="TableParagraph"/>
              <w:ind w:left="200"/>
              <w:rPr>
                <w:sz w:val="20"/>
              </w:rPr>
            </w:pPr>
            <w:r>
              <w:rPr>
                <w:noProof/>
                <w:sz w:val="20"/>
                <w:lang w:bidi="ar-SA"/>
              </w:rPr>
              <w:drawing>
                <wp:inline distT="0" distB="0" distL="0" distR="0">
                  <wp:extent cx="916099" cy="133081"/>
                  <wp:effectExtent l="0" t="0" r="0" b="635"/>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6099" cy="133081"/>
                          </a:xfrm>
                          <a:prstGeom prst="rect">
                            <a:avLst/>
                          </a:prstGeom>
                        </pic:spPr>
                      </pic:pic>
                    </a:graphicData>
                  </a:graphic>
                </wp:inline>
              </w:drawing>
            </w:r>
          </w:p>
        </w:tc>
        <w:tc>
          <w:tcPr>
            <w:tcW w:w="9582" w:type="dxa"/>
          </w:tcPr>
          <w:p w:rsidR="004B1590" w:rsidRDefault="004B1590">
            <w:pPr>
              <w:pStyle w:val="TableParagraph"/>
              <w:spacing w:before="1"/>
              <w:rPr>
                <w:b/>
              </w:rPr>
            </w:pPr>
          </w:p>
          <w:p w:rsidR="004B1590" w:rsidRDefault="000D0CBE" w:rsidP="006A6D6A">
            <w:pPr>
              <w:pStyle w:val="TableParagraph"/>
              <w:ind w:left="185"/>
              <w:rPr>
                <w:sz w:val="18"/>
              </w:rPr>
            </w:pPr>
            <w:r>
              <w:rPr>
                <w:sz w:val="18"/>
              </w:rPr>
              <w:t xml:space="preserve">Each </w:t>
            </w:r>
            <w:r w:rsidR="006A6D6A">
              <w:rPr>
                <w:sz w:val="18"/>
              </w:rPr>
              <w:t>CertNexus</w:t>
            </w:r>
            <w:r>
              <w:rPr>
                <w:sz w:val="18"/>
              </w:rPr>
              <w:t xml:space="preserve"> certification remains valid for 3 years. The maintenance process for an LO certification can and should begin immediately upon receiving the certification.</w:t>
            </w:r>
          </w:p>
        </w:tc>
      </w:tr>
      <w:tr w:rsidR="004B1590" w:rsidTr="000B0817">
        <w:trPr>
          <w:trHeight w:val="1827"/>
        </w:trPr>
        <w:tc>
          <w:tcPr>
            <w:tcW w:w="1876" w:type="dxa"/>
          </w:tcPr>
          <w:p w:rsidR="004B1590" w:rsidRDefault="004B1590">
            <w:pPr>
              <w:pStyle w:val="TableParagraph"/>
              <w:rPr>
                <w:rFonts w:ascii="Times New Roman"/>
                <w:sz w:val="16"/>
              </w:rPr>
            </w:pPr>
          </w:p>
        </w:tc>
        <w:tc>
          <w:tcPr>
            <w:tcW w:w="9582" w:type="dxa"/>
          </w:tcPr>
          <w:p w:rsidR="004B1590" w:rsidRDefault="004B1590">
            <w:pPr>
              <w:pStyle w:val="TableParagraph"/>
              <w:spacing w:before="5"/>
              <w:rPr>
                <w:b/>
                <w:sz w:val="13"/>
              </w:rPr>
            </w:pPr>
          </w:p>
          <w:p w:rsidR="004B1590" w:rsidRDefault="000D0CBE">
            <w:pPr>
              <w:pStyle w:val="TableParagraph"/>
              <w:ind w:left="185" w:right="2592"/>
              <w:rPr>
                <w:sz w:val="18"/>
              </w:rPr>
            </w:pPr>
            <w:r>
              <w:rPr>
                <w:sz w:val="18"/>
              </w:rPr>
              <w:t xml:space="preserve">For information about Project Management Institute’s program to maintain credentials visit: </w:t>
            </w:r>
            <w:hyperlink r:id="rId19">
              <w:r>
                <w:rPr>
                  <w:color w:val="0000FF"/>
                  <w:sz w:val="18"/>
                  <w:u w:val="single" w:color="0000FF"/>
                </w:rPr>
                <w:t>http://www.pmi.org/Certification/Maintain-Your-Credential.aspx</w:t>
              </w:r>
              <w:r>
                <w:rPr>
                  <w:sz w:val="18"/>
                </w:rPr>
                <w:t>.</w:t>
              </w:r>
            </w:hyperlink>
          </w:p>
          <w:p w:rsidR="004B1590" w:rsidRDefault="004B1590">
            <w:pPr>
              <w:pStyle w:val="TableParagraph"/>
              <w:spacing w:before="1"/>
              <w:rPr>
                <w:b/>
                <w:sz w:val="18"/>
              </w:rPr>
            </w:pPr>
          </w:p>
          <w:p w:rsidR="004B1590" w:rsidRDefault="000D0CBE">
            <w:pPr>
              <w:pStyle w:val="TableParagraph"/>
              <w:ind w:left="185" w:right="234"/>
              <w:rPr>
                <w:sz w:val="18"/>
              </w:rPr>
            </w:pPr>
            <w:r>
              <w:rPr>
                <w:sz w:val="18"/>
              </w:rPr>
              <w:t xml:space="preserve">GAGAS: Session content may also support GAGAS (Generally Accepted Government Auditing Standards) Requirements for Continuing Professional Education. We recommend consulting with your supervisor to determine which sessions would help met your individual requirements. A CPE hour may be granted for each 50 minutes of participation in group programs and activities that qualify. </w:t>
            </w:r>
            <w:hyperlink r:id="rId20">
              <w:r>
                <w:rPr>
                  <w:color w:val="0000FF"/>
                  <w:sz w:val="18"/>
                  <w:u w:val="single" w:color="0000FF"/>
                </w:rPr>
                <w:t>http://www.gao.gov/assets/80/76894.pdf</w:t>
              </w:r>
            </w:hyperlink>
          </w:p>
        </w:tc>
      </w:tr>
      <w:tr w:rsidR="004B1590" w:rsidTr="000B0817">
        <w:trPr>
          <w:trHeight w:val="749"/>
        </w:trPr>
        <w:tc>
          <w:tcPr>
            <w:tcW w:w="1876" w:type="dxa"/>
          </w:tcPr>
          <w:p w:rsidR="004B1590" w:rsidRDefault="004B1590">
            <w:pPr>
              <w:pStyle w:val="TableParagraph"/>
              <w:rPr>
                <w:rFonts w:ascii="Times New Roman"/>
                <w:sz w:val="16"/>
              </w:rPr>
            </w:pPr>
          </w:p>
        </w:tc>
        <w:tc>
          <w:tcPr>
            <w:tcW w:w="9582" w:type="dxa"/>
          </w:tcPr>
          <w:p w:rsidR="004B1590" w:rsidRDefault="000D0052" w:rsidP="00AA7F64">
            <w:pPr>
              <w:pStyle w:val="TableParagraph"/>
              <w:spacing w:line="196" w:lineRule="exact"/>
              <w:ind w:left="185"/>
              <w:rPr>
                <w:sz w:val="18"/>
              </w:rPr>
            </w:pPr>
            <w:r w:rsidRPr="000D0052">
              <w:rPr>
                <w:sz w:val="18"/>
              </w:rPr>
              <w:t xml:space="preserve">Defense Acquisition Workforce: Members of the Defense Acquisition Workforce </w:t>
            </w:r>
            <w:r w:rsidRPr="000D0052">
              <w:rPr>
                <w:sz w:val="18"/>
                <w:u w:val="single"/>
              </w:rPr>
              <w:t>may</w:t>
            </w:r>
            <w:r w:rsidRPr="000D0052">
              <w:rPr>
                <w:sz w:val="18"/>
              </w:rPr>
              <w:t xml:space="preserve"> qualify for continuous learning points (CLPs) at the rate of .5 point/hour for a maximum of 4 points/day and 20 points/year for attendance at relevant sessions. </w:t>
            </w:r>
            <w:hyperlink r:id="rId21" w:tgtFrame="_blank" w:history="1">
              <w:r w:rsidRPr="000D0052">
                <w:rPr>
                  <w:rStyle w:val="Hyperlink"/>
                  <w:sz w:val="18"/>
                </w:rPr>
                <w:t>http://www.dau.mil/CLC/Pages/PointCredit.aspx</w:t>
              </w:r>
            </w:hyperlink>
            <w:r w:rsidRPr="000D0052">
              <w:rPr>
                <w:sz w:val="18"/>
              </w:rPr>
              <w:t xml:space="preserve"> </w:t>
            </w:r>
            <w:r w:rsidR="000D0CBE">
              <w:rPr>
                <w:color w:val="0000FF"/>
                <w:sz w:val="18"/>
              </w:rPr>
              <w:t xml:space="preserve"> </w:t>
            </w:r>
          </w:p>
        </w:tc>
      </w:tr>
    </w:tbl>
    <w:p w:rsidR="00B44421" w:rsidRDefault="00B44421" w:rsidP="00F9022D">
      <w:pPr>
        <w:widowControl/>
        <w:autoSpaceDE/>
        <w:autoSpaceDN/>
        <w:spacing w:after="200" w:line="276" w:lineRule="auto"/>
        <w:jc w:val="center"/>
        <w:rPr>
          <w:rFonts w:cs="Times New Roman"/>
          <w:b/>
          <w:color w:val="C00000"/>
          <w:sz w:val="24"/>
          <w:szCs w:val="24"/>
          <w:lang w:bidi="ar-SA"/>
        </w:rPr>
      </w:pPr>
    </w:p>
    <w:p w:rsidR="00F132BE" w:rsidRPr="00F9022D" w:rsidRDefault="00F9022D" w:rsidP="00F9022D">
      <w:pPr>
        <w:widowControl/>
        <w:autoSpaceDE/>
        <w:autoSpaceDN/>
        <w:spacing w:after="200" w:line="276" w:lineRule="auto"/>
        <w:jc w:val="center"/>
        <w:rPr>
          <w:rFonts w:cs="Times New Roman"/>
          <w:b/>
          <w:color w:val="C00000"/>
          <w:sz w:val="24"/>
          <w:szCs w:val="24"/>
          <w:lang w:bidi="ar-SA"/>
        </w:rPr>
      </w:pPr>
      <w:r w:rsidRPr="00F9022D">
        <w:rPr>
          <w:rFonts w:cs="Times New Roman"/>
          <w:b/>
          <w:color w:val="C00000"/>
          <w:sz w:val="24"/>
          <w:szCs w:val="24"/>
          <w:lang w:bidi="ar-SA"/>
        </w:rPr>
        <w:t>If in doubt, please check with your supervisor to confirm which sessions meet your training requirements.</w:t>
      </w:r>
    </w:p>
    <w:sectPr w:rsidR="00F132BE" w:rsidRPr="00F9022D" w:rsidSect="009A2AD5">
      <w:pgSz w:w="12240" w:h="15840"/>
      <w:pgMar w:top="360" w:right="360" w:bottom="360" w:left="360" w:header="0" w:footer="9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3B" w:rsidRDefault="008D6D3B">
      <w:r>
        <w:separator/>
      </w:r>
    </w:p>
  </w:endnote>
  <w:endnote w:type="continuationSeparator" w:id="0">
    <w:p w:rsidR="008D6D3B" w:rsidRDefault="008D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90" w:rsidRDefault="0059036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170180</wp:posOffset>
              </wp:positionH>
              <wp:positionV relativeFrom="page">
                <wp:posOffset>9277350</wp:posOffset>
              </wp:positionV>
              <wp:extent cx="7369175" cy="37592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6C6" w:rsidRPr="008866C6" w:rsidRDefault="008866C6" w:rsidP="008866C6">
                          <w:pPr>
                            <w:spacing w:before="1"/>
                            <w:ind w:left="20"/>
                            <w:rPr>
                              <w:b/>
                              <w:color w:val="FF0000"/>
                              <w:sz w:val="16"/>
                            </w:rPr>
                          </w:pPr>
                          <w:r w:rsidRPr="008866C6">
                            <w:rPr>
                              <w:b/>
                              <w:color w:val="FF0000"/>
                              <w:sz w:val="16"/>
                            </w:rPr>
                            <w:t xml:space="preserve">AFCEA Members and INSA Members:  To ensure receipt of documentation of session attendance, be sure to arrive on time, stay for the entire session and get your event badge scanned at the close of each session approved for continuing education.  Documentation will be provided not later than October </w:t>
                          </w:r>
                          <w:r w:rsidR="009F26AF">
                            <w:rPr>
                              <w:b/>
                              <w:color w:val="FF0000"/>
                              <w:sz w:val="16"/>
                            </w:rPr>
                            <w:t>11</w:t>
                          </w:r>
                          <w:r w:rsidR="004821EC">
                            <w:rPr>
                              <w:b/>
                              <w:color w:val="FF0000"/>
                              <w:sz w:val="16"/>
                            </w:rPr>
                            <w:t xml:space="preserve">, </w:t>
                          </w:r>
                          <w:r>
                            <w:rPr>
                              <w:b/>
                              <w:color w:val="FF0000"/>
                              <w:sz w:val="16"/>
                            </w:rPr>
                            <w:t xml:space="preserve">2019 </w:t>
                          </w:r>
                          <w:r w:rsidRPr="008866C6">
                            <w:rPr>
                              <w:b/>
                              <w:color w:val="FF0000"/>
                              <w:sz w:val="16"/>
                            </w:rPr>
                            <w:t xml:space="preserve">by email from AFCEA.org.  Others may follow tips on this flyer for submitting session information to CompTIA, GIAC and/or </w:t>
                          </w:r>
                          <w:proofErr w:type="spellStart"/>
                          <w:r>
                            <w:rPr>
                              <w:b/>
                              <w:color w:val="FF0000"/>
                              <w:sz w:val="16"/>
                            </w:rPr>
                            <w:t>CertNexus</w:t>
                          </w:r>
                          <w:proofErr w:type="spellEnd"/>
                          <w:r w:rsidRPr="008866C6">
                            <w:rPr>
                              <w:b/>
                              <w:color w:val="FF0000"/>
                              <w:sz w:val="16"/>
                            </w:rPr>
                            <w:t xml:space="preserve">. </w:t>
                          </w:r>
                        </w:p>
                        <w:p w:rsidR="009A2AD5" w:rsidRDefault="009A2AD5">
                          <w:pPr>
                            <w:spacing w:before="1"/>
                            <w:ind w:left="20"/>
                            <w:rPr>
                              <w:b/>
                              <w:color w:val="FF0000"/>
                              <w:sz w:val="16"/>
                            </w:rPr>
                          </w:pPr>
                        </w:p>
                        <w:p w:rsidR="009A2AD5" w:rsidRDefault="009A2AD5">
                          <w:pPr>
                            <w:spacing w:before="1"/>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4pt;margin-top:730.5pt;width:580.25pt;height:2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" filled="f" stroked="f">
              <v:textbox inset="0,0,0,0">
                <w:txbxContent>
                  <w:p w:rsidR="008866C6" w:rsidRPr="008866C6" w:rsidRDefault="008866C6" w:rsidP="008866C6">
                    <w:pPr>
                      <w:spacing w:before="1"/>
                      <w:ind w:left="20"/>
                      <w:rPr>
                        <w:b/>
                        <w:color w:val="FF0000"/>
                        <w:sz w:val="16"/>
                      </w:rPr>
                    </w:pPr>
                    <w:r w:rsidRPr="008866C6">
                      <w:rPr>
                        <w:b/>
                        <w:color w:val="FF0000"/>
                        <w:sz w:val="16"/>
                      </w:rPr>
                      <w:t xml:space="preserve">AFCEA Members and INSA Members:  To ensure receipt of documentation of session attendance, be sure to arrive on time, stay for the entire session and get your event badge scanned at the close of each session approved for continuing education.  Documentation will be provided not later than October </w:t>
                    </w:r>
                    <w:r w:rsidR="009F26AF">
                      <w:rPr>
                        <w:b/>
                        <w:color w:val="FF0000"/>
                        <w:sz w:val="16"/>
                      </w:rPr>
                      <w:t>11</w:t>
                    </w:r>
                    <w:r w:rsidR="004821EC">
                      <w:rPr>
                        <w:b/>
                        <w:color w:val="FF0000"/>
                        <w:sz w:val="16"/>
                      </w:rPr>
                      <w:t xml:space="preserve">, </w:t>
                    </w:r>
                    <w:r>
                      <w:rPr>
                        <w:b/>
                        <w:color w:val="FF0000"/>
                        <w:sz w:val="16"/>
                      </w:rPr>
                      <w:t xml:space="preserve">2019 </w:t>
                    </w:r>
                    <w:r w:rsidRPr="008866C6">
                      <w:rPr>
                        <w:b/>
                        <w:color w:val="FF0000"/>
                        <w:sz w:val="16"/>
                      </w:rPr>
                      <w:t xml:space="preserve">by email from AFCEA.org.  Others may follow tips on this flyer for submitting session information to CompTIA, GIAC and/or </w:t>
                    </w:r>
                    <w:proofErr w:type="spellStart"/>
                    <w:r>
                      <w:rPr>
                        <w:b/>
                        <w:color w:val="FF0000"/>
                        <w:sz w:val="16"/>
                      </w:rPr>
                      <w:t>CertNexus</w:t>
                    </w:r>
                    <w:proofErr w:type="spellEnd"/>
                    <w:r w:rsidRPr="008866C6">
                      <w:rPr>
                        <w:b/>
                        <w:color w:val="FF0000"/>
                        <w:sz w:val="16"/>
                      </w:rPr>
                      <w:t xml:space="preserve">. </w:t>
                    </w:r>
                  </w:p>
                  <w:p w:rsidR="009A2AD5" w:rsidRDefault="009A2AD5">
                    <w:pPr>
                      <w:spacing w:before="1"/>
                      <w:ind w:left="20"/>
                      <w:rPr>
                        <w:b/>
                        <w:color w:val="FF0000"/>
                        <w:sz w:val="16"/>
                      </w:rPr>
                    </w:pPr>
                  </w:p>
                  <w:p w:rsidR="009A2AD5" w:rsidRDefault="009A2AD5">
                    <w:pPr>
                      <w:spacing w:before="1"/>
                      <w:ind w:left="2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3B" w:rsidRDefault="008D6D3B">
      <w:r>
        <w:separator/>
      </w:r>
    </w:p>
  </w:footnote>
  <w:footnote w:type="continuationSeparator" w:id="0">
    <w:p w:rsidR="008D6D3B" w:rsidRDefault="008D6D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4EE9"/>
    <w:multiLevelType w:val="hybridMultilevel"/>
    <w:tmpl w:val="F1C49724"/>
    <w:lvl w:ilvl="0" w:tplc="A404BF5C">
      <w:start w:val="1"/>
      <w:numFmt w:val="decimal"/>
      <w:lvlText w:val="%1."/>
      <w:lvlJc w:val="left"/>
      <w:pPr>
        <w:ind w:left="568" w:hanging="360"/>
      </w:pPr>
      <w:rPr>
        <w:rFonts w:ascii="Calibri" w:eastAsia="Calibri" w:hAnsi="Calibri" w:cs="Calibri" w:hint="default"/>
        <w:b/>
        <w:bCs/>
        <w:color w:val="C0504D"/>
        <w:spacing w:val="-2"/>
        <w:w w:val="100"/>
        <w:sz w:val="18"/>
        <w:szCs w:val="18"/>
        <w:lang w:val="en-US" w:eastAsia="en-US" w:bidi="en-US"/>
      </w:rPr>
    </w:lvl>
    <w:lvl w:ilvl="1" w:tplc="B972D5C8">
      <w:numFmt w:val="bullet"/>
      <w:lvlText w:val="•"/>
      <w:lvlJc w:val="left"/>
      <w:pPr>
        <w:ind w:left="1706" w:hanging="360"/>
      </w:pPr>
      <w:rPr>
        <w:rFonts w:hint="default"/>
        <w:lang w:val="en-US" w:eastAsia="en-US" w:bidi="en-US"/>
      </w:rPr>
    </w:lvl>
    <w:lvl w:ilvl="2" w:tplc="DE10C55A">
      <w:numFmt w:val="bullet"/>
      <w:lvlText w:val="•"/>
      <w:lvlJc w:val="left"/>
      <w:pPr>
        <w:ind w:left="2852" w:hanging="360"/>
      </w:pPr>
      <w:rPr>
        <w:rFonts w:hint="default"/>
        <w:lang w:val="en-US" w:eastAsia="en-US" w:bidi="en-US"/>
      </w:rPr>
    </w:lvl>
    <w:lvl w:ilvl="3" w:tplc="B746714A">
      <w:numFmt w:val="bullet"/>
      <w:lvlText w:val="•"/>
      <w:lvlJc w:val="left"/>
      <w:pPr>
        <w:ind w:left="3998" w:hanging="360"/>
      </w:pPr>
      <w:rPr>
        <w:rFonts w:hint="default"/>
        <w:lang w:val="en-US" w:eastAsia="en-US" w:bidi="en-US"/>
      </w:rPr>
    </w:lvl>
    <w:lvl w:ilvl="4" w:tplc="8DB6FDA6">
      <w:numFmt w:val="bullet"/>
      <w:lvlText w:val="•"/>
      <w:lvlJc w:val="left"/>
      <w:pPr>
        <w:ind w:left="5144" w:hanging="360"/>
      </w:pPr>
      <w:rPr>
        <w:rFonts w:hint="default"/>
        <w:lang w:val="en-US" w:eastAsia="en-US" w:bidi="en-US"/>
      </w:rPr>
    </w:lvl>
    <w:lvl w:ilvl="5" w:tplc="6C383D0C">
      <w:numFmt w:val="bullet"/>
      <w:lvlText w:val="•"/>
      <w:lvlJc w:val="left"/>
      <w:pPr>
        <w:ind w:left="6290" w:hanging="360"/>
      </w:pPr>
      <w:rPr>
        <w:rFonts w:hint="default"/>
        <w:lang w:val="en-US" w:eastAsia="en-US" w:bidi="en-US"/>
      </w:rPr>
    </w:lvl>
    <w:lvl w:ilvl="6" w:tplc="5CBCF55C">
      <w:numFmt w:val="bullet"/>
      <w:lvlText w:val="•"/>
      <w:lvlJc w:val="left"/>
      <w:pPr>
        <w:ind w:left="7436" w:hanging="360"/>
      </w:pPr>
      <w:rPr>
        <w:rFonts w:hint="default"/>
        <w:lang w:val="en-US" w:eastAsia="en-US" w:bidi="en-US"/>
      </w:rPr>
    </w:lvl>
    <w:lvl w:ilvl="7" w:tplc="4DECB990">
      <w:numFmt w:val="bullet"/>
      <w:lvlText w:val="•"/>
      <w:lvlJc w:val="left"/>
      <w:pPr>
        <w:ind w:left="8582" w:hanging="360"/>
      </w:pPr>
      <w:rPr>
        <w:rFonts w:hint="default"/>
        <w:lang w:val="en-US" w:eastAsia="en-US" w:bidi="en-US"/>
      </w:rPr>
    </w:lvl>
    <w:lvl w:ilvl="8" w:tplc="4FAA8804">
      <w:numFmt w:val="bullet"/>
      <w:lvlText w:val="•"/>
      <w:lvlJc w:val="left"/>
      <w:pPr>
        <w:ind w:left="97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4"/>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90"/>
    <w:rsid w:val="000150B1"/>
    <w:rsid w:val="000316BB"/>
    <w:rsid w:val="00031E2D"/>
    <w:rsid w:val="0004005D"/>
    <w:rsid w:val="000756B9"/>
    <w:rsid w:val="00085373"/>
    <w:rsid w:val="00092381"/>
    <w:rsid w:val="000B0817"/>
    <w:rsid w:val="000B7280"/>
    <w:rsid w:val="000D0052"/>
    <w:rsid w:val="000D0CBE"/>
    <w:rsid w:val="000D7C95"/>
    <w:rsid w:val="001333BF"/>
    <w:rsid w:val="00153854"/>
    <w:rsid w:val="00154028"/>
    <w:rsid w:val="0017292C"/>
    <w:rsid w:val="001764DF"/>
    <w:rsid w:val="00196DFE"/>
    <w:rsid w:val="00197D6D"/>
    <w:rsid w:val="001B683A"/>
    <w:rsid w:val="001C72C3"/>
    <w:rsid w:val="001D365D"/>
    <w:rsid w:val="001D78A6"/>
    <w:rsid w:val="001E06A2"/>
    <w:rsid w:val="00211E5E"/>
    <w:rsid w:val="002131D8"/>
    <w:rsid w:val="00231220"/>
    <w:rsid w:val="00245C20"/>
    <w:rsid w:val="002951CE"/>
    <w:rsid w:val="002D3674"/>
    <w:rsid w:val="002E07AA"/>
    <w:rsid w:val="002E4BBF"/>
    <w:rsid w:val="002F24CE"/>
    <w:rsid w:val="00305790"/>
    <w:rsid w:val="00305FFC"/>
    <w:rsid w:val="00311E0D"/>
    <w:rsid w:val="003249A0"/>
    <w:rsid w:val="003371BD"/>
    <w:rsid w:val="00352109"/>
    <w:rsid w:val="00376301"/>
    <w:rsid w:val="003A6A74"/>
    <w:rsid w:val="003A6FA0"/>
    <w:rsid w:val="003E4491"/>
    <w:rsid w:val="003F57D8"/>
    <w:rsid w:val="004013C1"/>
    <w:rsid w:val="004015E3"/>
    <w:rsid w:val="00413695"/>
    <w:rsid w:val="004142C5"/>
    <w:rsid w:val="004266D9"/>
    <w:rsid w:val="0043245E"/>
    <w:rsid w:val="00454FA2"/>
    <w:rsid w:val="004821EC"/>
    <w:rsid w:val="00495CBA"/>
    <w:rsid w:val="004B1590"/>
    <w:rsid w:val="004B4C04"/>
    <w:rsid w:val="004B59A4"/>
    <w:rsid w:val="004E7FA7"/>
    <w:rsid w:val="005017AA"/>
    <w:rsid w:val="005069EF"/>
    <w:rsid w:val="00511E55"/>
    <w:rsid w:val="00534974"/>
    <w:rsid w:val="0054452E"/>
    <w:rsid w:val="00565D4F"/>
    <w:rsid w:val="0056771C"/>
    <w:rsid w:val="005753C1"/>
    <w:rsid w:val="00590365"/>
    <w:rsid w:val="00592EF9"/>
    <w:rsid w:val="005A1690"/>
    <w:rsid w:val="005A6BD1"/>
    <w:rsid w:val="005B11F1"/>
    <w:rsid w:val="005C30A1"/>
    <w:rsid w:val="005E4B44"/>
    <w:rsid w:val="006316DE"/>
    <w:rsid w:val="00636FAE"/>
    <w:rsid w:val="0064071A"/>
    <w:rsid w:val="00653F02"/>
    <w:rsid w:val="006608F7"/>
    <w:rsid w:val="006624DA"/>
    <w:rsid w:val="00663C00"/>
    <w:rsid w:val="00672F88"/>
    <w:rsid w:val="0067587D"/>
    <w:rsid w:val="00676A89"/>
    <w:rsid w:val="00693C2C"/>
    <w:rsid w:val="006A6D6A"/>
    <w:rsid w:val="006E4EF3"/>
    <w:rsid w:val="006E6462"/>
    <w:rsid w:val="006F5B78"/>
    <w:rsid w:val="007002A1"/>
    <w:rsid w:val="00703862"/>
    <w:rsid w:val="00711396"/>
    <w:rsid w:val="00721D4F"/>
    <w:rsid w:val="007444D0"/>
    <w:rsid w:val="00744F11"/>
    <w:rsid w:val="0075376E"/>
    <w:rsid w:val="0076097C"/>
    <w:rsid w:val="0076625F"/>
    <w:rsid w:val="007831F6"/>
    <w:rsid w:val="00784930"/>
    <w:rsid w:val="00793497"/>
    <w:rsid w:val="007945C1"/>
    <w:rsid w:val="00796543"/>
    <w:rsid w:val="007A7085"/>
    <w:rsid w:val="007C2E64"/>
    <w:rsid w:val="007F360A"/>
    <w:rsid w:val="00824C7E"/>
    <w:rsid w:val="00825045"/>
    <w:rsid w:val="00826C8C"/>
    <w:rsid w:val="008303B6"/>
    <w:rsid w:val="008318CF"/>
    <w:rsid w:val="0086209C"/>
    <w:rsid w:val="00877151"/>
    <w:rsid w:val="008866C6"/>
    <w:rsid w:val="008B26F4"/>
    <w:rsid w:val="008B33BF"/>
    <w:rsid w:val="008D6D3B"/>
    <w:rsid w:val="008F083C"/>
    <w:rsid w:val="008F634E"/>
    <w:rsid w:val="00906466"/>
    <w:rsid w:val="0093128D"/>
    <w:rsid w:val="00931C15"/>
    <w:rsid w:val="009470F5"/>
    <w:rsid w:val="00972C90"/>
    <w:rsid w:val="00981A57"/>
    <w:rsid w:val="00991828"/>
    <w:rsid w:val="00992342"/>
    <w:rsid w:val="009A2AD5"/>
    <w:rsid w:val="009A63B9"/>
    <w:rsid w:val="009A7E7D"/>
    <w:rsid w:val="009C7125"/>
    <w:rsid w:val="009D05AF"/>
    <w:rsid w:val="009D2F18"/>
    <w:rsid w:val="009F26AF"/>
    <w:rsid w:val="009F63EC"/>
    <w:rsid w:val="00A0238C"/>
    <w:rsid w:val="00A11A9C"/>
    <w:rsid w:val="00A227FA"/>
    <w:rsid w:val="00A275D6"/>
    <w:rsid w:val="00A3430D"/>
    <w:rsid w:val="00A442D4"/>
    <w:rsid w:val="00A46486"/>
    <w:rsid w:val="00A63960"/>
    <w:rsid w:val="00A81CF1"/>
    <w:rsid w:val="00A9271F"/>
    <w:rsid w:val="00A95AAD"/>
    <w:rsid w:val="00AA33B3"/>
    <w:rsid w:val="00AA7F64"/>
    <w:rsid w:val="00AB6549"/>
    <w:rsid w:val="00AB6B2C"/>
    <w:rsid w:val="00AD0D98"/>
    <w:rsid w:val="00AD2FED"/>
    <w:rsid w:val="00AD3EBB"/>
    <w:rsid w:val="00B16D3B"/>
    <w:rsid w:val="00B17960"/>
    <w:rsid w:val="00B2121C"/>
    <w:rsid w:val="00B25A31"/>
    <w:rsid w:val="00B435EF"/>
    <w:rsid w:val="00B44421"/>
    <w:rsid w:val="00B449F9"/>
    <w:rsid w:val="00B5220B"/>
    <w:rsid w:val="00B5278F"/>
    <w:rsid w:val="00B65787"/>
    <w:rsid w:val="00B7082B"/>
    <w:rsid w:val="00B75631"/>
    <w:rsid w:val="00B93179"/>
    <w:rsid w:val="00B94CAA"/>
    <w:rsid w:val="00BA694E"/>
    <w:rsid w:val="00BB0D0B"/>
    <w:rsid w:val="00BB4977"/>
    <w:rsid w:val="00BC0182"/>
    <w:rsid w:val="00BE53DA"/>
    <w:rsid w:val="00C15E50"/>
    <w:rsid w:val="00C60426"/>
    <w:rsid w:val="00C65726"/>
    <w:rsid w:val="00C724B4"/>
    <w:rsid w:val="00C8399A"/>
    <w:rsid w:val="00CA6402"/>
    <w:rsid w:val="00CE0513"/>
    <w:rsid w:val="00CE5295"/>
    <w:rsid w:val="00D113D2"/>
    <w:rsid w:val="00D30074"/>
    <w:rsid w:val="00D32BFF"/>
    <w:rsid w:val="00D61614"/>
    <w:rsid w:val="00D83FF7"/>
    <w:rsid w:val="00D9730A"/>
    <w:rsid w:val="00DE2F7B"/>
    <w:rsid w:val="00DF49F2"/>
    <w:rsid w:val="00E16055"/>
    <w:rsid w:val="00E228BF"/>
    <w:rsid w:val="00E71DF4"/>
    <w:rsid w:val="00E778F4"/>
    <w:rsid w:val="00E810F6"/>
    <w:rsid w:val="00E81E04"/>
    <w:rsid w:val="00E849AF"/>
    <w:rsid w:val="00E94E68"/>
    <w:rsid w:val="00EA73CD"/>
    <w:rsid w:val="00EB1D8C"/>
    <w:rsid w:val="00EB7793"/>
    <w:rsid w:val="00EC4596"/>
    <w:rsid w:val="00EE4159"/>
    <w:rsid w:val="00EF7E0D"/>
    <w:rsid w:val="00F01041"/>
    <w:rsid w:val="00F11F92"/>
    <w:rsid w:val="00F132BE"/>
    <w:rsid w:val="00F3681E"/>
    <w:rsid w:val="00F42B47"/>
    <w:rsid w:val="00F5640F"/>
    <w:rsid w:val="00F601F1"/>
    <w:rsid w:val="00F649F0"/>
    <w:rsid w:val="00F71FCE"/>
    <w:rsid w:val="00F9022D"/>
    <w:rsid w:val="00F96369"/>
    <w:rsid w:val="00FA5C43"/>
    <w:rsid w:val="00FE65B7"/>
    <w:rsid w:val="00FF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9990"/>
  <w15:docId w15:val="{A9F54509-575A-4A9C-A959-88E01660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052"/>
    <w:rPr>
      <w:color w:val="0000FF" w:themeColor="hyperlink"/>
      <w:u w:val="single"/>
    </w:rPr>
  </w:style>
  <w:style w:type="paragraph" w:styleId="Header">
    <w:name w:val="header"/>
    <w:basedOn w:val="Normal"/>
    <w:link w:val="HeaderChar"/>
    <w:uiPriority w:val="99"/>
    <w:unhideWhenUsed/>
    <w:rsid w:val="009D2F18"/>
    <w:pPr>
      <w:tabs>
        <w:tab w:val="center" w:pos="4680"/>
        <w:tab w:val="right" w:pos="9360"/>
      </w:tabs>
    </w:pPr>
  </w:style>
  <w:style w:type="character" w:customStyle="1" w:styleId="HeaderChar">
    <w:name w:val="Header Char"/>
    <w:basedOn w:val="DefaultParagraphFont"/>
    <w:link w:val="Header"/>
    <w:uiPriority w:val="99"/>
    <w:rsid w:val="009D2F18"/>
    <w:rPr>
      <w:rFonts w:ascii="Calibri" w:eastAsia="Calibri" w:hAnsi="Calibri" w:cs="Calibri"/>
      <w:lang w:bidi="en-US"/>
    </w:rPr>
  </w:style>
  <w:style w:type="paragraph" w:styleId="Footer">
    <w:name w:val="footer"/>
    <w:basedOn w:val="Normal"/>
    <w:link w:val="FooterChar"/>
    <w:uiPriority w:val="99"/>
    <w:unhideWhenUsed/>
    <w:rsid w:val="009D2F18"/>
    <w:pPr>
      <w:tabs>
        <w:tab w:val="center" w:pos="4680"/>
        <w:tab w:val="right" w:pos="9360"/>
      </w:tabs>
    </w:pPr>
  </w:style>
  <w:style w:type="character" w:customStyle="1" w:styleId="FooterChar">
    <w:name w:val="Footer Char"/>
    <w:basedOn w:val="DefaultParagraphFont"/>
    <w:link w:val="Footer"/>
    <w:uiPriority w:val="99"/>
    <w:rsid w:val="009D2F18"/>
    <w:rPr>
      <w:rFonts w:ascii="Calibri" w:eastAsia="Calibri" w:hAnsi="Calibri" w:cs="Calibri"/>
      <w:lang w:bidi="en-US"/>
    </w:rPr>
  </w:style>
  <w:style w:type="character" w:styleId="FollowedHyperlink">
    <w:name w:val="FollowedHyperlink"/>
    <w:basedOn w:val="DefaultParagraphFont"/>
    <w:uiPriority w:val="99"/>
    <w:semiHidden/>
    <w:unhideWhenUsed/>
    <w:rsid w:val="00A63960"/>
    <w:rPr>
      <w:color w:val="800080" w:themeColor="followedHyperlink"/>
      <w:u w:val="single"/>
    </w:rPr>
  </w:style>
  <w:style w:type="paragraph" w:styleId="BalloonText">
    <w:name w:val="Balloon Text"/>
    <w:basedOn w:val="Normal"/>
    <w:link w:val="BalloonTextChar"/>
    <w:uiPriority w:val="99"/>
    <w:semiHidden/>
    <w:unhideWhenUsed/>
    <w:rsid w:val="00B44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F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86848">
      <w:bodyDiv w:val="1"/>
      <w:marLeft w:val="0"/>
      <w:marRight w:val="0"/>
      <w:marTop w:val="0"/>
      <w:marBottom w:val="0"/>
      <w:divBdr>
        <w:top w:val="none" w:sz="0" w:space="0" w:color="auto"/>
        <w:left w:val="none" w:sz="0" w:space="0" w:color="auto"/>
        <w:bottom w:val="none" w:sz="0" w:space="0" w:color="auto"/>
        <w:right w:val="none" w:sz="0" w:space="0" w:color="auto"/>
      </w:divBdr>
    </w:div>
    <w:div w:id="1457722323">
      <w:bodyDiv w:val="1"/>
      <w:marLeft w:val="0"/>
      <w:marRight w:val="0"/>
      <w:marTop w:val="0"/>
      <w:marBottom w:val="0"/>
      <w:divBdr>
        <w:top w:val="none" w:sz="0" w:space="0" w:color="auto"/>
        <w:left w:val="none" w:sz="0" w:space="0" w:color="auto"/>
        <w:bottom w:val="none" w:sz="0" w:space="0" w:color="auto"/>
        <w:right w:val="none" w:sz="0" w:space="0" w:color="auto"/>
      </w:divBdr>
    </w:div>
    <w:div w:id="1628120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iac.org/pdfs/cert-renewal/faq.pdf"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dau.mil/CLC/Pages/PointCredit.aspx"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isc2.org/maintaining-your-credential.aspx" TargetMode="External"/><Relationship Id="rId2" Type="http://schemas.openxmlformats.org/officeDocument/2006/relationships/styles" Target="styles.xml"/><Relationship Id="rId16" Type="http://schemas.openxmlformats.org/officeDocument/2006/relationships/hyperlink" Target="https://www.isc2.org/MembersInGoodStanding.aspx" TargetMode="External"/><Relationship Id="rId20" Type="http://schemas.openxmlformats.org/officeDocument/2006/relationships/hyperlink" Target="http://www.gao.gov/assets/80/7689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intestcert.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certification.comptia.org/continuing-education/how-to-renew/earn-continuing-education-units." TargetMode="External"/><Relationship Id="rId19" Type="http://schemas.openxmlformats.org/officeDocument/2006/relationships/hyperlink" Target="http://www.pmi.org/Certification/Maintain-Your-Credential.asp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ert-renewal@gia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KGingrich</dc:creator>
  <cp:keywords/>
  <dc:description/>
  <cp:lastModifiedBy>Gretchen Gunning</cp:lastModifiedBy>
  <cp:revision>3</cp:revision>
  <cp:lastPrinted>2019-05-23T19:03:00Z</cp:lastPrinted>
  <dcterms:created xsi:type="dcterms:W3CDTF">2019-07-15T19:28:00Z</dcterms:created>
  <dcterms:modified xsi:type="dcterms:W3CDTF">2019-07-17T14:31:00Z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2018-08-09T00:00:00Z</vt:filetime>
  </property>
</Properties>
</file>